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1D0" w:rsidRDefault="003223E6">
      <w:pPr>
        <w:spacing w:before="0" w:after="0"/>
        <w:jc w:val="center"/>
      </w:pPr>
      <w:r>
        <w:rPr>
          <w:b/>
          <w:color w:val="000000"/>
          <w:sz w:val="21"/>
        </w:rPr>
        <w:t>理想业务公路服务商管理要求</w:t>
      </w:r>
    </w:p>
    <w:p w:rsidR="00C041D0" w:rsidRDefault="003223E6">
      <w:pPr>
        <w:spacing w:before="0" w:after="0"/>
      </w:pPr>
      <w:r>
        <w:rPr>
          <w:color w:val="000000"/>
          <w:sz w:val="21"/>
        </w:rPr>
        <w:t> </w:t>
      </w:r>
    </w:p>
    <w:p w:rsidR="00C041D0" w:rsidRDefault="003223E6">
      <w:pPr>
        <w:spacing w:before="0" w:after="0"/>
        <w:ind w:firstLineChars="135" w:firstLine="283"/>
      </w:pPr>
      <w:r>
        <w:rPr>
          <w:color w:val="000000"/>
          <w:sz w:val="21"/>
        </w:rPr>
        <w:t xml:space="preserve"> </w:t>
      </w:r>
      <w:r>
        <w:rPr>
          <w:color w:val="000000"/>
          <w:sz w:val="21"/>
        </w:rPr>
        <w:t>公路物流服务商需满足下述运输计划管理的要求，如有异常需立即向安吉远海汇报，并提供解决方案。如无法做到，安吉远海将根据实际情形采取以下惩处措施：</w:t>
      </w:r>
    </w:p>
    <w:p w:rsidR="00C041D0" w:rsidRDefault="003223E6">
      <w:pPr>
        <w:spacing w:before="0" w:after="0"/>
        <w:rPr>
          <w:rFonts w:ascii="宋体" w:eastAsia="宋体" w:hAnsi="宋体" w:cs="宋体"/>
        </w:rPr>
      </w:pPr>
      <w:r>
        <w:rPr>
          <w:color w:val="000000"/>
          <w:sz w:val="21"/>
        </w:rPr>
        <w:t xml:space="preserve">    ①  </w:t>
      </w:r>
      <w:r>
        <w:rPr>
          <w:color w:val="000000"/>
          <w:sz w:val="21"/>
        </w:rPr>
        <w:t>根据物流服务商绩效进行考核；</w:t>
      </w:r>
    </w:p>
    <w:p w:rsidR="00C041D0" w:rsidRDefault="003223E6">
      <w:pPr>
        <w:spacing w:before="0" w:after="0"/>
        <w:rPr>
          <w:rFonts w:ascii="宋体" w:eastAsia="宋体" w:hAnsi="宋体" w:cs="宋体"/>
        </w:rPr>
      </w:pPr>
      <w:r>
        <w:rPr>
          <w:color w:val="000000"/>
          <w:sz w:val="21"/>
        </w:rPr>
        <w:t xml:space="preserve">    ②  </w:t>
      </w:r>
      <w:r>
        <w:rPr>
          <w:color w:val="000000"/>
          <w:sz w:val="21"/>
        </w:rPr>
        <w:t>根据具体情况及情节的严重程度，安吉远海有权根据价格服务表现等调整公路物流服务商的选择、要求物流服务商暂停当前业务进行整改、甚至可能取消其在该线路的服务资格。</w:t>
      </w:r>
    </w:p>
    <w:p w:rsidR="00C041D0" w:rsidRDefault="003223E6">
      <w:pPr>
        <w:spacing w:before="0" w:after="0"/>
        <w:rPr>
          <w:rFonts w:ascii="宋体" w:eastAsia="宋体" w:hAnsi="宋体" w:cs="宋体"/>
        </w:rPr>
      </w:pPr>
      <w:r>
        <w:rPr>
          <w:color w:val="000000"/>
          <w:sz w:val="21"/>
        </w:rPr>
        <w:t xml:space="preserve">    ③  </w:t>
      </w:r>
      <w:r>
        <w:rPr>
          <w:color w:val="000000"/>
          <w:sz w:val="21"/>
        </w:rPr>
        <w:t>安吉远海保留指定其他物流服务商参与帮运的权利（紧急订单采用小板运输），原物流服务商应承担因此而产生的费用。</w:t>
      </w:r>
    </w:p>
    <w:p w:rsidR="00C041D0" w:rsidRDefault="003223E6">
      <w:pPr>
        <w:spacing w:before="0" w:after="0"/>
      </w:pPr>
      <w:r>
        <w:rPr>
          <w:color w:val="000000"/>
          <w:sz w:val="21"/>
        </w:rPr>
        <w:t>具体运输服务要求：</w:t>
      </w:r>
    </w:p>
    <w:p w:rsidR="00C041D0" w:rsidRDefault="003223E6">
      <w:pPr>
        <w:spacing w:before="0" w:after="0"/>
      </w:pPr>
      <w:r>
        <w:rPr>
          <w:color w:val="000000"/>
          <w:sz w:val="21"/>
        </w:rPr>
        <w:t> </w:t>
      </w:r>
    </w:p>
    <w:p w:rsidR="00C041D0" w:rsidRDefault="003223E6">
      <w:pPr>
        <w:spacing w:before="0" w:after="0"/>
        <w:rPr>
          <w:rFonts w:ascii="宋体" w:eastAsia="宋体" w:hAnsi="宋体" w:cs="宋体"/>
        </w:rPr>
      </w:pPr>
      <w:r>
        <w:rPr>
          <w:color w:val="000000"/>
          <w:sz w:val="21"/>
        </w:rPr>
        <w:t>一、集港</w:t>
      </w:r>
    </w:p>
    <w:p w:rsidR="00C041D0" w:rsidRDefault="003223E6">
      <w:pPr>
        <w:spacing w:before="0" w:after="0"/>
        <w:rPr>
          <w:rFonts w:ascii="宋体" w:eastAsia="宋体" w:hAnsi="宋体" w:cs="宋体"/>
        </w:rPr>
      </w:pPr>
      <w:r>
        <w:rPr>
          <w:color w:val="000000"/>
          <w:sz w:val="21"/>
        </w:rPr>
        <w:t xml:space="preserve">    ①  </w:t>
      </w:r>
      <w:r>
        <w:rPr>
          <w:color w:val="000000"/>
          <w:sz w:val="21"/>
        </w:rPr>
        <w:t>公路服务商需按客户系统内的订单时间在规定的时效内安排运力及配板。线路为常州工厂</w:t>
      </w:r>
      <w:r>
        <w:rPr>
          <w:color w:val="000000"/>
          <w:sz w:val="21"/>
        </w:rPr>
        <w:t>VDC</w:t>
      </w:r>
      <w:r>
        <w:rPr>
          <w:color w:val="000000"/>
          <w:sz w:val="21"/>
        </w:rPr>
        <w:t>出发（含常州一区</w:t>
      </w:r>
      <w:r>
        <w:rPr>
          <w:color w:val="000000"/>
          <w:sz w:val="21"/>
        </w:rPr>
        <w:t>\</w:t>
      </w:r>
      <w:r>
        <w:rPr>
          <w:color w:val="000000"/>
          <w:sz w:val="21"/>
        </w:rPr>
        <w:t>常州二区</w:t>
      </w:r>
      <w:r>
        <w:rPr>
          <w:color w:val="000000"/>
          <w:sz w:val="21"/>
        </w:rPr>
        <w:t>\</w:t>
      </w:r>
      <w:r>
        <w:rPr>
          <w:color w:val="000000"/>
          <w:sz w:val="21"/>
        </w:rPr>
        <w:t>滆湖库</w:t>
      </w:r>
      <w:r>
        <w:rPr>
          <w:color w:val="000000"/>
          <w:sz w:val="21"/>
        </w:rPr>
        <w:t>VDC\</w:t>
      </w:r>
      <w:r>
        <w:rPr>
          <w:color w:val="000000"/>
          <w:sz w:val="21"/>
        </w:rPr>
        <w:t>花博库）至上海港集港运输（含拼库），整段集港时效</w:t>
      </w:r>
      <w:r>
        <w:rPr>
          <w:color w:val="000000"/>
          <w:sz w:val="21"/>
        </w:rPr>
        <w:t>1.5</w:t>
      </w:r>
      <w:r>
        <w:rPr>
          <w:color w:val="000000"/>
          <w:sz w:val="21"/>
        </w:rPr>
        <w:t>天，若需要赶船期集港时效则按安吉远海截港时间而定，如运输公司确认承接需在截港收车前送达。集港段时效如下：</w:t>
      </w:r>
    </w:p>
    <w:p w:rsidR="00C041D0" w:rsidRDefault="003223E6">
      <w:pPr>
        <w:spacing w:before="0" w:after="0"/>
        <w:rPr>
          <w:rFonts w:ascii="宋体" w:eastAsia="宋体" w:hAnsi="宋体" w:cs="宋体"/>
        </w:rPr>
      </w:pPr>
      <w:r>
        <w:rPr>
          <w:color w:val="000000"/>
          <w:sz w:val="21"/>
        </w:rPr>
        <w:t xml:space="preserve">    a</w:t>
      </w:r>
      <w:r>
        <w:rPr>
          <w:color w:val="000000"/>
          <w:sz w:val="21"/>
        </w:rPr>
        <w:t>）发运标准时效</w:t>
      </w:r>
      <w:r>
        <w:rPr>
          <w:color w:val="000000"/>
          <w:sz w:val="21"/>
        </w:rPr>
        <w:t>1</w:t>
      </w:r>
      <w:r>
        <w:rPr>
          <w:color w:val="000000"/>
          <w:sz w:val="21"/>
        </w:rPr>
        <w:t>天，计算方式：板车出厂或小程序</w:t>
      </w:r>
      <w:r>
        <w:rPr>
          <w:color w:val="000000"/>
          <w:sz w:val="21"/>
        </w:rPr>
        <w:t>交接时间</w:t>
      </w:r>
      <w:r>
        <w:rPr>
          <w:color w:val="000000"/>
          <w:sz w:val="21"/>
        </w:rPr>
        <w:t>-</w:t>
      </w:r>
      <w:r>
        <w:rPr>
          <w:color w:val="000000"/>
          <w:sz w:val="21"/>
        </w:rPr>
        <w:t>订单释放时间。</w:t>
      </w:r>
    </w:p>
    <w:p w:rsidR="00C041D0" w:rsidRDefault="003223E6">
      <w:pPr>
        <w:spacing w:before="0" w:after="0"/>
        <w:rPr>
          <w:rFonts w:ascii="宋体" w:eastAsia="宋体" w:hAnsi="宋体" w:cs="宋体"/>
        </w:rPr>
      </w:pPr>
      <w:r>
        <w:rPr>
          <w:color w:val="000000"/>
          <w:sz w:val="21"/>
        </w:rPr>
        <w:t xml:space="preserve">    b</w:t>
      </w:r>
      <w:r>
        <w:rPr>
          <w:color w:val="000000"/>
          <w:sz w:val="21"/>
        </w:rPr>
        <w:t>）在途进港时效</w:t>
      </w:r>
      <w:r>
        <w:rPr>
          <w:color w:val="000000"/>
          <w:sz w:val="21"/>
        </w:rPr>
        <w:t>0.5</w:t>
      </w:r>
      <w:r>
        <w:rPr>
          <w:color w:val="000000"/>
          <w:sz w:val="21"/>
        </w:rPr>
        <w:t>天，计划方式：板车到达时间</w:t>
      </w:r>
      <w:r>
        <w:rPr>
          <w:color w:val="000000"/>
          <w:sz w:val="21"/>
        </w:rPr>
        <w:t>-</w:t>
      </w:r>
      <w:r>
        <w:rPr>
          <w:color w:val="000000"/>
          <w:sz w:val="21"/>
        </w:rPr>
        <w:t>板车出厂或小程序交接时间。</w:t>
      </w:r>
    </w:p>
    <w:p w:rsidR="00C041D0" w:rsidRDefault="003223E6">
      <w:pPr>
        <w:spacing w:before="0" w:after="0"/>
        <w:rPr>
          <w:rFonts w:ascii="宋体" w:eastAsia="宋体" w:hAnsi="宋体" w:cs="宋体"/>
        </w:rPr>
      </w:pPr>
      <w:r>
        <w:rPr>
          <w:color w:val="000000"/>
          <w:sz w:val="21"/>
        </w:rPr>
        <w:t xml:space="preserve">    c</w:t>
      </w:r>
      <w:r>
        <w:rPr>
          <w:color w:val="000000"/>
          <w:sz w:val="21"/>
        </w:rPr>
        <w:t>）板车入厂时间不得晚于提车计划时间，如因库区板车作业紧张、现场安全员引导通知延误等客观原因造成的影响，公路服务商需及时向安吉远海报备。</w:t>
      </w:r>
    </w:p>
    <w:p w:rsidR="00C041D0" w:rsidRDefault="003223E6">
      <w:pPr>
        <w:spacing w:before="0" w:after="0"/>
        <w:rPr>
          <w:rFonts w:ascii="宋体" w:eastAsia="宋体" w:hAnsi="宋体" w:cs="宋体"/>
        </w:rPr>
      </w:pPr>
      <w:r>
        <w:rPr>
          <w:color w:val="000000"/>
          <w:sz w:val="21"/>
        </w:rPr>
        <w:t xml:space="preserve">    d</w:t>
      </w:r>
      <w:r>
        <w:rPr>
          <w:color w:val="000000"/>
          <w:sz w:val="21"/>
        </w:rPr>
        <w:t>）常州库区整板单库装板作业时间不得超过</w:t>
      </w:r>
      <w:r>
        <w:rPr>
          <w:color w:val="000000"/>
          <w:sz w:val="21"/>
        </w:rPr>
        <w:t>2</w:t>
      </w:r>
      <w:r>
        <w:rPr>
          <w:color w:val="000000"/>
          <w:sz w:val="21"/>
        </w:rPr>
        <w:t>小时，若需拼库装载，在计划装载数量</w:t>
      </w:r>
      <w:r>
        <w:rPr>
          <w:color w:val="000000"/>
          <w:sz w:val="21"/>
        </w:rPr>
        <w:t>3</w:t>
      </w:r>
      <w:r>
        <w:rPr>
          <w:color w:val="000000"/>
          <w:sz w:val="21"/>
        </w:rPr>
        <w:t>台及以下商品车的库区装板作业时间不得超过</w:t>
      </w:r>
      <w:r>
        <w:rPr>
          <w:color w:val="000000"/>
          <w:sz w:val="21"/>
        </w:rPr>
        <w:t>1</w:t>
      </w:r>
      <w:r>
        <w:rPr>
          <w:color w:val="000000"/>
          <w:sz w:val="21"/>
        </w:rPr>
        <w:t>小时，如因库区备车慢、质量交车时间过长等</w:t>
      </w:r>
      <w:r>
        <w:rPr>
          <w:color w:val="000000"/>
          <w:sz w:val="21"/>
        </w:rPr>
        <w:t>异常情况影响装车时间，公路服务商需及时向安吉远海报备。</w:t>
      </w:r>
      <w:r>
        <w:rPr>
          <w:color w:val="000000"/>
          <w:sz w:val="21"/>
        </w:rPr>
        <w:t>（注：若因发生异常情况未及时报备</w:t>
      </w:r>
      <w:r>
        <w:rPr>
          <w:color w:val="000000"/>
          <w:sz w:val="21"/>
        </w:rPr>
        <w:t>导致商品车退库，造成的额外费用由公路服务商承担）</w:t>
      </w:r>
    </w:p>
    <w:p w:rsidR="00C041D0" w:rsidRDefault="003223E6">
      <w:pPr>
        <w:spacing w:before="0" w:after="0"/>
        <w:rPr>
          <w:rFonts w:ascii="宋体" w:eastAsia="宋体" w:hAnsi="宋体" w:cs="宋体"/>
        </w:rPr>
      </w:pPr>
      <w:r>
        <w:rPr>
          <w:color w:val="000000"/>
          <w:sz w:val="21"/>
        </w:rPr>
        <w:t xml:space="preserve">    ②  </w:t>
      </w:r>
      <w:r>
        <w:rPr>
          <w:color w:val="000000"/>
          <w:sz w:val="21"/>
        </w:rPr>
        <w:t>板车装车前向仓库质量员领取车辆唛头及路书，将唛头放置于对应的商品车仪表台上。</w:t>
      </w:r>
    </w:p>
    <w:p w:rsidR="00C041D0" w:rsidRDefault="003223E6">
      <w:pPr>
        <w:spacing w:before="0" w:after="0"/>
        <w:rPr>
          <w:rFonts w:ascii="宋体" w:eastAsia="宋体" w:hAnsi="宋体" w:cs="宋体"/>
        </w:rPr>
      </w:pPr>
      <w:r>
        <w:rPr>
          <w:color w:val="000000"/>
          <w:sz w:val="21"/>
        </w:rPr>
        <w:t xml:space="preserve">    ③  </w:t>
      </w:r>
      <w:r>
        <w:rPr>
          <w:color w:val="000000"/>
          <w:sz w:val="21"/>
        </w:rPr>
        <w:t>在途阶段公路服务商应及时主动预警各种异常情况，包括道路拥堵、封路、板车故障、天气原因等事件，并给出预计影响的时间，实时同步更新影响情况直至异常事情终止。</w:t>
      </w:r>
    </w:p>
    <w:p w:rsidR="00C041D0" w:rsidRDefault="003223E6">
      <w:pPr>
        <w:spacing w:before="0" w:after="0"/>
        <w:rPr>
          <w:rFonts w:ascii="宋体" w:eastAsia="宋体" w:hAnsi="宋体" w:cs="宋体"/>
        </w:rPr>
      </w:pPr>
      <w:r>
        <w:rPr>
          <w:color w:val="000000"/>
          <w:sz w:val="21"/>
        </w:rPr>
        <w:t xml:space="preserve">    ④  </w:t>
      </w:r>
      <w:r>
        <w:rPr>
          <w:color w:val="000000"/>
          <w:sz w:val="21"/>
        </w:rPr>
        <w:t>当日有仓库提车计划时，公路服务商需反馈四次（</w:t>
      </w:r>
      <w:r>
        <w:rPr>
          <w:color w:val="000000"/>
          <w:sz w:val="21"/>
        </w:rPr>
        <w:t>9</w:t>
      </w:r>
      <w:r>
        <w:rPr>
          <w:color w:val="000000"/>
          <w:sz w:val="21"/>
        </w:rPr>
        <w:t>点、</w:t>
      </w:r>
      <w:r>
        <w:rPr>
          <w:color w:val="000000"/>
          <w:sz w:val="21"/>
        </w:rPr>
        <w:t>12</w:t>
      </w:r>
      <w:r>
        <w:rPr>
          <w:color w:val="000000"/>
          <w:sz w:val="21"/>
        </w:rPr>
        <w:t>点、</w:t>
      </w:r>
      <w:r>
        <w:rPr>
          <w:color w:val="000000"/>
          <w:sz w:val="21"/>
        </w:rPr>
        <w:t>16</w:t>
      </w:r>
      <w:r>
        <w:rPr>
          <w:color w:val="000000"/>
          <w:sz w:val="21"/>
        </w:rPr>
        <w:t>点、</w:t>
      </w:r>
      <w:r>
        <w:rPr>
          <w:color w:val="000000"/>
          <w:sz w:val="21"/>
        </w:rPr>
        <w:t>20</w:t>
      </w:r>
      <w:r>
        <w:rPr>
          <w:color w:val="000000"/>
          <w:sz w:val="21"/>
        </w:rPr>
        <w:t>点）车辆在途信息。</w:t>
      </w:r>
    </w:p>
    <w:p w:rsidR="00C041D0" w:rsidRDefault="003223E6">
      <w:pPr>
        <w:spacing w:before="0" w:after="0"/>
        <w:rPr>
          <w:rFonts w:ascii="宋体" w:eastAsia="宋体" w:hAnsi="宋体" w:cs="宋体"/>
        </w:rPr>
      </w:pPr>
      <w:r>
        <w:rPr>
          <w:color w:val="000000"/>
          <w:sz w:val="21"/>
        </w:rPr>
        <w:t xml:space="preserve">    ⑤  </w:t>
      </w:r>
      <w:r>
        <w:rPr>
          <w:color w:val="000000"/>
          <w:sz w:val="21"/>
        </w:rPr>
        <w:t>公路服务商需做足运力保障应对订单的波动和业务变化，在合同期内每日需按约定保障运力及峰</w:t>
      </w:r>
      <w:r>
        <w:rPr>
          <w:color w:val="000000"/>
          <w:sz w:val="21"/>
        </w:rPr>
        <w:t>值运力向安吉远海提报。</w:t>
      </w:r>
    </w:p>
    <w:p w:rsidR="00C041D0" w:rsidRDefault="003223E6">
      <w:pPr>
        <w:spacing w:before="0" w:after="0"/>
        <w:rPr>
          <w:rFonts w:ascii="宋体" w:eastAsia="宋体" w:hAnsi="宋体" w:cs="宋体"/>
        </w:rPr>
      </w:pPr>
      <w:r>
        <w:rPr>
          <w:color w:val="000000"/>
          <w:sz w:val="21"/>
        </w:rPr>
        <w:t xml:space="preserve">    ⑥  </w:t>
      </w:r>
      <w:r>
        <w:rPr>
          <w:color w:val="000000"/>
          <w:sz w:val="21"/>
        </w:rPr>
        <w:t>装车需按理想操作要求，如有违反则将背靠背形式进行考核。</w:t>
      </w:r>
    </w:p>
    <w:p w:rsidR="00C041D0" w:rsidRDefault="003223E6">
      <w:pPr>
        <w:spacing w:before="0" w:after="0"/>
        <w:rPr>
          <w:rFonts w:ascii="宋体" w:eastAsia="宋体" w:hAnsi="宋体" w:cs="宋体"/>
        </w:rPr>
      </w:pPr>
      <w:r>
        <w:rPr>
          <w:color w:val="000000"/>
          <w:sz w:val="21"/>
        </w:rPr>
        <w:t xml:space="preserve">    ⑦  </w:t>
      </w:r>
      <w:r>
        <w:rPr>
          <w:color w:val="000000"/>
          <w:sz w:val="21"/>
        </w:rPr>
        <w:t>公路服务商调度根据安吉远海南港现场提供的停车道位通知到各自驾驶员，板车到达南港码头后商品车按照要求停放在规定道位上，驾驶员若有不清楚的情况，通过公路服务</w:t>
      </w:r>
      <w:r>
        <w:rPr>
          <w:color w:val="000000"/>
          <w:sz w:val="21"/>
        </w:rPr>
        <w:lastRenderedPageBreak/>
        <w:t>商调度联系安吉远海南港现场询问，原则上南港现场不负责直接对接驾驶员指导停车要求。</w:t>
      </w:r>
    </w:p>
    <w:p w:rsidR="00C041D0" w:rsidRDefault="003223E6">
      <w:pPr>
        <w:spacing w:before="0" w:after="0"/>
        <w:rPr>
          <w:rFonts w:ascii="宋体" w:eastAsia="宋体" w:hAnsi="宋体" w:cs="宋体"/>
        </w:rPr>
      </w:pPr>
      <w:r>
        <w:rPr>
          <w:color w:val="000000"/>
          <w:sz w:val="21"/>
        </w:rPr>
        <w:t xml:space="preserve">    ⑧  </w:t>
      </w:r>
      <w:r>
        <w:rPr>
          <w:color w:val="000000"/>
          <w:sz w:val="21"/>
        </w:rPr>
        <w:t>驾驶员到达南港小程序操作：</w:t>
      </w:r>
      <w:r>
        <w:rPr>
          <w:color w:val="000000"/>
          <w:sz w:val="21"/>
        </w:rPr>
        <w:t>1</w:t>
      </w:r>
      <w:r>
        <w:rPr>
          <w:color w:val="000000"/>
          <w:sz w:val="21"/>
        </w:rPr>
        <w:t>）需</w:t>
      </w:r>
      <w:r>
        <w:rPr>
          <w:color w:val="000000"/>
          <w:sz w:val="21"/>
        </w:rPr>
        <w:t>5km</w:t>
      </w:r>
      <w:r>
        <w:rPr>
          <w:color w:val="000000"/>
          <w:sz w:val="21"/>
        </w:rPr>
        <w:t>范围内点击到达目的地，完成时效不得超过</w:t>
      </w:r>
      <w:r>
        <w:rPr>
          <w:color w:val="000000"/>
          <w:sz w:val="21"/>
        </w:rPr>
        <w:t>1</w:t>
      </w:r>
      <w:r>
        <w:rPr>
          <w:color w:val="000000"/>
          <w:sz w:val="21"/>
        </w:rPr>
        <w:t>小时。</w:t>
      </w:r>
      <w:r>
        <w:rPr>
          <w:color w:val="000000"/>
          <w:sz w:val="21"/>
        </w:rPr>
        <w:t>2</w:t>
      </w:r>
      <w:r>
        <w:rPr>
          <w:color w:val="000000"/>
          <w:sz w:val="21"/>
        </w:rPr>
        <w:t>）交接签字确认，待驾驶员收到手机短信起</w:t>
      </w:r>
      <w:r>
        <w:rPr>
          <w:color w:val="000000"/>
          <w:sz w:val="21"/>
        </w:rPr>
        <w:t>12</w:t>
      </w:r>
      <w:r>
        <w:rPr>
          <w:color w:val="000000"/>
          <w:sz w:val="21"/>
        </w:rPr>
        <w:t>小时内完成签字。</w:t>
      </w:r>
    </w:p>
    <w:p w:rsidR="00C041D0" w:rsidRDefault="003223E6">
      <w:pPr>
        <w:spacing w:before="0" w:after="0"/>
        <w:ind w:left="880"/>
      </w:pPr>
      <w:r>
        <w:rPr>
          <w:color w:val="000000"/>
          <w:sz w:val="21"/>
        </w:rPr>
        <w:t> </w:t>
      </w:r>
    </w:p>
    <w:p w:rsidR="00C041D0" w:rsidRDefault="003223E6">
      <w:pPr>
        <w:spacing w:before="0" w:after="0"/>
        <w:rPr>
          <w:rFonts w:ascii="宋体" w:eastAsia="宋体" w:hAnsi="宋体" w:cs="宋体"/>
        </w:rPr>
      </w:pPr>
      <w:r>
        <w:rPr>
          <w:color w:val="000000"/>
          <w:sz w:val="21"/>
        </w:rPr>
        <w:t>二、分</w:t>
      </w:r>
      <w:r>
        <w:rPr>
          <w:color w:val="000000"/>
          <w:sz w:val="21"/>
        </w:rPr>
        <w:t>拨</w:t>
      </w:r>
    </w:p>
    <w:p w:rsidR="00C041D0" w:rsidRDefault="003223E6">
      <w:pPr>
        <w:spacing w:before="0" w:after="0"/>
        <w:rPr>
          <w:rFonts w:ascii="宋体" w:eastAsia="宋体" w:hAnsi="宋体" w:cs="宋体"/>
        </w:rPr>
      </w:pPr>
      <w:r>
        <w:rPr>
          <w:color w:val="000000"/>
          <w:sz w:val="21"/>
        </w:rPr>
        <w:t xml:space="preserve">    </w:t>
      </w:r>
      <w:r>
        <w:rPr>
          <w:color w:val="000000"/>
          <w:sz w:val="21"/>
        </w:rPr>
        <w:t xml:space="preserve">①  </w:t>
      </w:r>
      <w:r>
        <w:rPr>
          <w:color w:val="000000"/>
          <w:sz w:val="21"/>
        </w:rPr>
        <w:t>公路服务商收到安吉远海分拨计划后需在规定的时效范围进行分拨运输。</w:t>
      </w:r>
      <w:r>
        <w:rPr>
          <w:color w:val="000000"/>
          <w:sz w:val="21"/>
        </w:rPr>
        <w:t xml:space="preserve"> </w:t>
      </w:r>
      <w:r>
        <w:rPr>
          <w:color w:val="000000"/>
          <w:sz w:val="21"/>
        </w:rPr>
        <w:t>线路为港口至交</w:t>
      </w:r>
      <w:proofErr w:type="gramStart"/>
      <w:r>
        <w:rPr>
          <w:color w:val="000000"/>
          <w:sz w:val="21"/>
        </w:rPr>
        <w:t>付中心</w:t>
      </w:r>
      <w:proofErr w:type="gramEnd"/>
      <w:r>
        <w:rPr>
          <w:color w:val="000000"/>
          <w:sz w:val="21"/>
        </w:rPr>
        <w:t>或</w:t>
      </w:r>
      <w:r>
        <w:rPr>
          <w:color w:val="000000"/>
          <w:sz w:val="21"/>
        </w:rPr>
        <w:t>VDC</w:t>
      </w:r>
      <w:r>
        <w:rPr>
          <w:color w:val="000000"/>
          <w:sz w:val="21"/>
        </w:rPr>
        <w:t>，分拨段时效如下：</w:t>
      </w:r>
    </w:p>
    <w:p w:rsidR="00C041D0" w:rsidRPr="003223E6" w:rsidRDefault="003223E6" w:rsidP="003223E6">
      <w:pPr>
        <w:pStyle w:val="ab"/>
        <w:numPr>
          <w:ilvl w:val="0"/>
          <w:numId w:val="2"/>
        </w:numPr>
        <w:spacing w:before="0" w:after="0"/>
        <w:ind w:firstLineChars="0"/>
        <w:rPr>
          <w:rFonts w:ascii="宋体" w:eastAsia="宋体" w:hAnsi="宋体" w:cs="宋体"/>
        </w:rPr>
      </w:pPr>
      <w:r>
        <w:rPr>
          <w:rFonts w:hint="eastAsia"/>
          <w:color w:val="000000"/>
          <w:sz w:val="21"/>
        </w:rPr>
        <w:t xml:space="preserve"> </w:t>
      </w:r>
      <w:r w:rsidRPr="003223E6">
        <w:rPr>
          <w:color w:val="000000"/>
          <w:sz w:val="21"/>
        </w:rPr>
        <w:t>发运标准时效</w:t>
      </w:r>
      <w:r w:rsidRPr="003223E6">
        <w:rPr>
          <w:color w:val="000000"/>
          <w:sz w:val="21"/>
        </w:rPr>
        <w:t>1</w:t>
      </w:r>
      <w:r w:rsidRPr="003223E6">
        <w:rPr>
          <w:color w:val="000000"/>
          <w:sz w:val="21"/>
        </w:rPr>
        <w:t>天，计算方式：小程序交接时间</w:t>
      </w:r>
      <w:r w:rsidRPr="003223E6">
        <w:rPr>
          <w:color w:val="000000"/>
          <w:sz w:val="21"/>
        </w:rPr>
        <w:t>-</w:t>
      </w:r>
      <w:r w:rsidRPr="003223E6">
        <w:rPr>
          <w:color w:val="000000"/>
          <w:sz w:val="21"/>
        </w:rPr>
        <w:t>卸货结束时间。</w:t>
      </w:r>
    </w:p>
    <w:p w:rsidR="00C041D0" w:rsidRPr="003223E6" w:rsidRDefault="003223E6" w:rsidP="003223E6">
      <w:pPr>
        <w:pStyle w:val="ab"/>
        <w:numPr>
          <w:ilvl w:val="0"/>
          <w:numId w:val="2"/>
        </w:numPr>
        <w:spacing w:before="0" w:after="0"/>
        <w:ind w:firstLineChars="0"/>
        <w:rPr>
          <w:rFonts w:ascii="宋体" w:eastAsia="宋体" w:hAnsi="宋体" w:cs="宋体"/>
        </w:rPr>
      </w:pPr>
      <w:r>
        <w:rPr>
          <w:rFonts w:hint="eastAsia"/>
          <w:color w:val="000000"/>
          <w:sz w:val="21"/>
        </w:rPr>
        <w:t xml:space="preserve"> </w:t>
      </w:r>
      <w:r w:rsidRPr="003223E6">
        <w:rPr>
          <w:color w:val="000000"/>
          <w:sz w:val="21"/>
        </w:rPr>
        <w:t>理想</w:t>
      </w:r>
      <w:r w:rsidRPr="003223E6">
        <w:rPr>
          <w:color w:val="000000"/>
          <w:sz w:val="21"/>
        </w:rPr>
        <w:t>VL</w:t>
      </w:r>
      <w:r w:rsidRPr="003223E6">
        <w:rPr>
          <w:color w:val="000000"/>
          <w:sz w:val="21"/>
        </w:rPr>
        <w:t>系统按实际</w:t>
      </w:r>
      <w:proofErr w:type="gramStart"/>
      <w:r w:rsidRPr="003223E6">
        <w:rPr>
          <w:color w:val="000000"/>
          <w:sz w:val="21"/>
        </w:rPr>
        <w:t>配板创建</w:t>
      </w:r>
      <w:proofErr w:type="gramEnd"/>
      <w:r w:rsidRPr="003223E6">
        <w:rPr>
          <w:color w:val="000000"/>
          <w:sz w:val="21"/>
        </w:rPr>
        <w:t>提车计划。</w:t>
      </w:r>
    </w:p>
    <w:p w:rsidR="00C041D0" w:rsidRDefault="003223E6" w:rsidP="003223E6">
      <w:pPr>
        <w:spacing w:before="0" w:after="0"/>
        <w:rPr>
          <w:rFonts w:ascii="宋体" w:eastAsia="宋体" w:hAnsi="宋体" w:cs="宋体"/>
        </w:rPr>
      </w:pPr>
      <w:r>
        <w:rPr>
          <w:color w:val="000000"/>
          <w:sz w:val="21"/>
        </w:rPr>
        <w:t>在</w:t>
      </w:r>
      <w:r>
        <w:rPr>
          <w:color w:val="000000"/>
          <w:sz w:val="21"/>
        </w:rPr>
        <w:t>途时效见目的地时效清单，</w:t>
      </w:r>
      <w:bookmarkStart w:id="0" w:name="_GoBack"/>
      <w:bookmarkEnd w:id="0"/>
      <w:r>
        <w:rPr>
          <w:color w:val="000000"/>
          <w:sz w:val="21"/>
        </w:rPr>
        <w:t>计算方式：板车到达时间</w:t>
      </w:r>
      <w:r>
        <w:rPr>
          <w:color w:val="000000"/>
          <w:sz w:val="21"/>
        </w:rPr>
        <w:t>-</w:t>
      </w:r>
      <w:r>
        <w:rPr>
          <w:color w:val="000000"/>
          <w:sz w:val="21"/>
        </w:rPr>
        <w:t>小程序交接时间。</w:t>
      </w:r>
    </w:p>
    <w:p w:rsidR="00C041D0" w:rsidRDefault="003223E6">
      <w:pPr>
        <w:spacing w:before="0" w:after="0"/>
      </w:pPr>
      <w:bookmarkStart w:id="1" w:name="_Hlk180915758"/>
      <w:r>
        <w:rPr>
          <w:color w:val="000000"/>
          <w:sz w:val="21"/>
        </w:rPr>
        <w:t xml:space="preserve">    ②  </w:t>
      </w:r>
      <w:r>
        <w:rPr>
          <w:color w:val="000000"/>
          <w:sz w:val="21"/>
        </w:rPr>
        <w:t>公路服务商收到安吉远海分拨计划后，需</w:t>
      </w:r>
      <w:r>
        <w:rPr>
          <w:color w:val="000000"/>
          <w:sz w:val="21"/>
        </w:rPr>
        <w:t>T+1</w:t>
      </w:r>
      <w:r>
        <w:rPr>
          <w:color w:val="000000"/>
          <w:sz w:val="21"/>
        </w:rPr>
        <w:t>给出</w:t>
      </w:r>
      <w:proofErr w:type="gramStart"/>
      <w:r>
        <w:rPr>
          <w:color w:val="000000"/>
          <w:sz w:val="21"/>
        </w:rPr>
        <w:t>配板方案</w:t>
      </w:r>
      <w:proofErr w:type="gramEnd"/>
      <w:r>
        <w:rPr>
          <w:color w:val="000000"/>
          <w:sz w:val="21"/>
        </w:rPr>
        <w:t>,</w:t>
      </w:r>
      <w:r>
        <w:rPr>
          <w:color w:val="000000"/>
          <w:sz w:val="21"/>
        </w:rPr>
        <w:t>若无法在</w:t>
      </w:r>
      <w:r>
        <w:rPr>
          <w:color w:val="000000"/>
          <w:sz w:val="21"/>
        </w:rPr>
        <w:t>T+1</w:t>
      </w:r>
      <w:r>
        <w:rPr>
          <w:color w:val="000000"/>
          <w:sz w:val="21"/>
        </w:rPr>
        <w:t>内给出最晚不得超过</w:t>
      </w:r>
      <w:r>
        <w:rPr>
          <w:color w:val="000000"/>
          <w:sz w:val="21"/>
        </w:rPr>
        <w:t>T+2,</w:t>
      </w:r>
      <w:r>
        <w:rPr>
          <w:color w:val="000000"/>
          <w:sz w:val="21"/>
        </w:rPr>
        <w:t>超出则将被安吉远海计入考核。</w:t>
      </w:r>
      <w:bookmarkEnd w:id="1"/>
    </w:p>
    <w:p w:rsidR="00C041D0" w:rsidRDefault="003223E6">
      <w:pPr>
        <w:spacing w:before="0" w:after="0"/>
      </w:pPr>
      <w:r>
        <w:rPr>
          <w:color w:val="000000"/>
          <w:sz w:val="21"/>
        </w:rPr>
        <w:t xml:space="preserve">    ③  </w:t>
      </w:r>
      <w:r>
        <w:rPr>
          <w:color w:val="000000"/>
          <w:sz w:val="21"/>
        </w:rPr>
        <w:t>公路服务商在合同期内商需做足运力保障，应按一船一批次保障后端分拨运力及峰值运力向安吉远海提报。</w:t>
      </w:r>
    </w:p>
    <w:p w:rsidR="00C041D0" w:rsidRDefault="003223E6">
      <w:pPr>
        <w:spacing w:before="0" w:after="0"/>
        <w:rPr>
          <w:rFonts w:ascii="宋体" w:eastAsia="宋体" w:hAnsi="宋体" w:cs="宋体"/>
        </w:rPr>
      </w:pPr>
      <w:r>
        <w:rPr>
          <w:color w:val="000000"/>
          <w:sz w:val="21"/>
        </w:rPr>
        <w:t xml:space="preserve">    ④  </w:t>
      </w:r>
      <w:r>
        <w:rPr>
          <w:color w:val="000000"/>
          <w:sz w:val="21"/>
        </w:rPr>
        <w:t>公路服务商需在分拨地安排港口代表。公路服务商需在车辆卸船完成后</w:t>
      </w:r>
      <w:r>
        <w:rPr>
          <w:color w:val="000000"/>
          <w:sz w:val="21"/>
        </w:rPr>
        <w:t>24</w:t>
      </w:r>
      <w:r>
        <w:rPr>
          <w:color w:val="000000"/>
          <w:sz w:val="21"/>
        </w:rPr>
        <w:t>小时之内完成点检并由港口代表与安吉远海进行批量交接，交接完成后允许驾驶员入场提车。</w:t>
      </w:r>
    </w:p>
    <w:p w:rsidR="00C041D0" w:rsidRDefault="003223E6">
      <w:pPr>
        <w:spacing w:before="0" w:after="0"/>
        <w:rPr>
          <w:rFonts w:ascii="宋体" w:eastAsia="宋体" w:hAnsi="宋体" w:cs="宋体"/>
        </w:rPr>
      </w:pPr>
      <w:r>
        <w:rPr>
          <w:color w:val="000000"/>
          <w:sz w:val="21"/>
        </w:rPr>
        <w:t xml:space="preserve">    ⑤  </w:t>
      </w:r>
      <w:r>
        <w:rPr>
          <w:color w:val="000000"/>
          <w:sz w:val="21"/>
        </w:rPr>
        <w:t>装车需按理想操作要求，公路服务商需按理想要求监督港区内板车作业，并按理想要求拍照上传小程序，如有违反则将背靠背形式进行考核</w:t>
      </w:r>
    </w:p>
    <w:p w:rsidR="00C041D0" w:rsidRDefault="003223E6">
      <w:pPr>
        <w:spacing w:before="0" w:after="0"/>
        <w:rPr>
          <w:rFonts w:ascii="宋体" w:eastAsia="宋体" w:hAnsi="宋体" w:cs="宋体"/>
        </w:rPr>
      </w:pPr>
      <w:r>
        <w:rPr>
          <w:color w:val="000000"/>
          <w:sz w:val="21"/>
        </w:rPr>
        <w:t xml:space="preserve">    ⑥  </w:t>
      </w:r>
      <w:r>
        <w:rPr>
          <w:color w:val="000000"/>
          <w:sz w:val="21"/>
        </w:rPr>
        <w:t>车辆卸船后公路服务商需每天至少三次（</w:t>
      </w:r>
      <w:r>
        <w:rPr>
          <w:color w:val="000000"/>
          <w:sz w:val="21"/>
        </w:rPr>
        <w:t>9</w:t>
      </w:r>
      <w:r>
        <w:rPr>
          <w:color w:val="000000"/>
          <w:sz w:val="21"/>
        </w:rPr>
        <w:t>点、</w:t>
      </w:r>
      <w:r>
        <w:rPr>
          <w:color w:val="000000"/>
          <w:sz w:val="21"/>
        </w:rPr>
        <w:t>12</w:t>
      </w:r>
      <w:r>
        <w:rPr>
          <w:color w:val="000000"/>
          <w:sz w:val="21"/>
        </w:rPr>
        <w:t>点、</w:t>
      </w:r>
      <w:r>
        <w:rPr>
          <w:color w:val="000000"/>
          <w:sz w:val="21"/>
        </w:rPr>
        <w:t>15</w:t>
      </w:r>
      <w:r>
        <w:rPr>
          <w:color w:val="000000"/>
          <w:sz w:val="21"/>
        </w:rPr>
        <w:t>点）反馈板车在途信息</w:t>
      </w:r>
    </w:p>
    <w:p w:rsidR="00C041D0" w:rsidRDefault="003223E6">
      <w:pPr>
        <w:spacing w:before="0" w:after="0"/>
        <w:rPr>
          <w:color w:val="000000"/>
          <w:sz w:val="21"/>
        </w:rPr>
      </w:pPr>
      <w:r>
        <w:rPr>
          <w:color w:val="000000"/>
          <w:sz w:val="21"/>
        </w:rPr>
        <w:t xml:space="preserve">    ⑦</w:t>
      </w:r>
      <w:r>
        <w:rPr>
          <w:color w:val="000000"/>
          <w:sz w:val="21"/>
        </w:rPr>
        <w:t xml:space="preserve">  </w:t>
      </w:r>
      <w:r>
        <w:rPr>
          <w:color w:val="000000"/>
          <w:sz w:val="21"/>
        </w:rPr>
        <w:t>司机到达交付中心</w:t>
      </w:r>
      <w:r>
        <w:rPr>
          <w:color w:val="000000"/>
          <w:sz w:val="21"/>
        </w:rPr>
        <w:t>/VDC</w:t>
      </w:r>
      <w:r>
        <w:rPr>
          <w:color w:val="000000"/>
          <w:sz w:val="21"/>
        </w:rPr>
        <w:t>小程序操作：</w:t>
      </w:r>
      <w:r>
        <w:rPr>
          <w:color w:val="000000"/>
          <w:sz w:val="21"/>
        </w:rPr>
        <w:t>1</w:t>
      </w:r>
      <w:r>
        <w:rPr>
          <w:color w:val="000000"/>
          <w:sz w:val="21"/>
        </w:rPr>
        <w:t>）需</w:t>
      </w:r>
      <w:r>
        <w:rPr>
          <w:color w:val="000000"/>
          <w:sz w:val="21"/>
        </w:rPr>
        <w:t>5km</w:t>
      </w:r>
      <w:r>
        <w:rPr>
          <w:color w:val="000000"/>
          <w:sz w:val="21"/>
        </w:rPr>
        <w:t>范围内点击到达目的地，完成时效不得超过</w:t>
      </w:r>
      <w:r>
        <w:rPr>
          <w:color w:val="000000"/>
          <w:sz w:val="21"/>
        </w:rPr>
        <w:t>1</w:t>
      </w:r>
      <w:r>
        <w:rPr>
          <w:color w:val="000000"/>
          <w:sz w:val="21"/>
        </w:rPr>
        <w:t>小时。</w:t>
      </w:r>
      <w:r>
        <w:rPr>
          <w:color w:val="000000"/>
          <w:sz w:val="21"/>
        </w:rPr>
        <w:t>2</w:t>
      </w:r>
      <w:r>
        <w:rPr>
          <w:color w:val="000000"/>
          <w:sz w:val="21"/>
        </w:rPr>
        <w:t>）交接签字确认，</w:t>
      </w:r>
      <w:bookmarkStart w:id="2" w:name="OLE_LINK4"/>
      <w:r>
        <w:rPr>
          <w:color w:val="000000"/>
          <w:sz w:val="21"/>
        </w:rPr>
        <w:t>待司机收到手机短信起</w:t>
      </w:r>
      <w:r>
        <w:rPr>
          <w:color w:val="000000"/>
          <w:sz w:val="21"/>
        </w:rPr>
        <w:t>12</w:t>
      </w:r>
      <w:r>
        <w:rPr>
          <w:color w:val="000000"/>
          <w:sz w:val="21"/>
        </w:rPr>
        <w:t>小时内完成签字</w:t>
      </w:r>
      <w:bookmarkEnd w:id="2"/>
      <w:r>
        <w:rPr>
          <w:color w:val="000000"/>
          <w:sz w:val="21"/>
        </w:rPr>
        <w:t>。</w:t>
      </w:r>
    </w:p>
    <w:p w:rsidR="00C041D0" w:rsidRDefault="00C041D0">
      <w:pPr>
        <w:spacing w:before="0" w:after="0"/>
        <w:rPr>
          <w:rFonts w:ascii="宋体" w:eastAsia="宋体" w:hAnsi="宋体" w:cs="宋体"/>
        </w:rPr>
      </w:pPr>
    </w:p>
    <w:p w:rsidR="00C041D0" w:rsidRDefault="003223E6">
      <w:pPr>
        <w:spacing w:before="0" w:after="0"/>
        <w:rPr>
          <w:color w:val="000000"/>
          <w:sz w:val="21"/>
        </w:rPr>
      </w:pPr>
      <w:r>
        <w:rPr>
          <w:color w:val="000000"/>
          <w:sz w:val="21"/>
        </w:rPr>
        <w:t>三、现场人员操作</w:t>
      </w:r>
    </w:p>
    <w:p w:rsidR="00C041D0" w:rsidRDefault="003223E6">
      <w:pPr>
        <w:spacing w:before="0" w:after="0"/>
        <w:rPr>
          <w:color w:val="000000"/>
          <w:sz w:val="21"/>
        </w:rPr>
      </w:pPr>
      <w:r>
        <w:rPr>
          <w:color w:val="000000"/>
          <w:sz w:val="21"/>
        </w:rPr>
        <w:t xml:space="preserve">    ①  </w:t>
      </w:r>
      <w:r>
        <w:rPr>
          <w:color w:val="000000"/>
          <w:sz w:val="21"/>
        </w:rPr>
        <w:t>常州库现场操作</w:t>
      </w:r>
    </w:p>
    <w:p w:rsidR="00C041D0" w:rsidRDefault="003223E6">
      <w:pPr>
        <w:spacing w:before="0" w:after="0"/>
        <w:rPr>
          <w:color w:val="000000"/>
          <w:sz w:val="21"/>
        </w:rPr>
      </w:pPr>
      <w:r>
        <w:rPr>
          <w:color w:val="000000"/>
          <w:sz w:val="21"/>
        </w:rPr>
        <w:t xml:space="preserve">    a)  </w:t>
      </w:r>
      <w:r>
        <w:rPr>
          <w:color w:val="000000"/>
          <w:sz w:val="21"/>
        </w:rPr>
        <w:t>根据安吉远海发运计划清单打印唛头及路书并将唛头和路书分发给司机进行摆放。</w:t>
      </w:r>
    </w:p>
    <w:p w:rsidR="00C041D0" w:rsidRDefault="003223E6">
      <w:pPr>
        <w:spacing w:before="0" w:after="0"/>
        <w:rPr>
          <w:color w:val="000000"/>
          <w:sz w:val="21"/>
        </w:rPr>
      </w:pPr>
      <w:r>
        <w:rPr>
          <w:color w:val="000000"/>
          <w:sz w:val="21"/>
        </w:rPr>
        <w:t xml:space="preserve">    b)  </w:t>
      </w:r>
      <w:r>
        <w:rPr>
          <w:color w:val="000000"/>
          <w:sz w:val="21"/>
        </w:rPr>
        <w:t>引导板车出入库。</w:t>
      </w:r>
    </w:p>
    <w:p w:rsidR="00C041D0" w:rsidRDefault="003223E6">
      <w:pPr>
        <w:spacing w:before="0" w:after="0"/>
        <w:rPr>
          <w:color w:val="000000"/>
          <w:sz w:val="21"/>
        </w:rPr>
      </w:pPr>
      <w:r>
        <w:rPr>
          <w:color w:val="000000"/>
          <w:sz w:val="21"/>
        </w:rPr>
        <w:t xml:space="preserve">    c)  </w:t>
      </w:r>
      <w:r>
        <w:rPr>
          <w:color w:val="000000"/>
          <w:sz w:val="21"/>
        </w:rPr>
        <w:t>按照理想库区作业要求对新司机进行培训考试。</w:t>
      </w:r>
      <w:r>
        <w:rPr>
          <w:color w:val="000000"/>
          <w:sz w:val="21"/>
        </w:rPr>
        <w:t xml:space="preserve"> </w:t>
      </w:r>
    </w:p>
    <w:p w:rsidR="00C041D0" w:rsidRDefault="003223E6">
      <w:pPr>
        <w:spacing w:before="0" w:after="0"/>
        <w:rPr>
          <w:color w:val="000000"/>
          <w:sz w:val="21"/>
        </w:rPr>
      </w:pPr>
      <w:r>
        <w:rPr>
          <w:color w:val="000000"/>
          <w:sz w:val="21"/>
        </w:rPr>
        <w:t xml:space="preserve">    d)  </w:t>
      </w:r>
      <w:r>
        <w:rPr>
          <w:color w:val="000000"/>
          <w:sz w:val="21"/>
        </w:rPr>
        <w:t>监督板车现场作业，</w:t>
      </w:r>
      <w:r>
        <w:rPr>
          <w:color w:val="000000"/>
          <w:sz w:val="21"/>
        </w:rPr>
        <w:t>有司机延迟进厂、板车和装车作业不合规等违规情况第一时间上报；</w:t>
      </w:r>
      <w:r>
        <w:rPr>
          <w:color w:val="000000"/>
          <w:sz w:val="21"/>
        </w:rPr>
        <w:t>及时纠正司机违规行为并在理想相关群聊内反馈整改情况。</w:t>
      </w:r>
    </w:p>
    <w:p w:rsidR="00C041D0" w:rsidRDefault="003223E6">
      <w:pPr>
        <w:spacing w:before="0" w:after="0"/>
        <w:rPr>
          <w:color w:val="000000"/>
          <w:sz w:val="21"/>
        </w:rPr>
      </w:pPr>
      <w:r>
        <w:rPr>
          <w:color w:val="000000"/>
          <w:sz w:val="21"/>
        </w:rPr>
        <w:t xml:space="preserve">    e)  </w:t>
      </w:r>
      <w:r>
        <w:rPr>
          <w:color w:val="000000"/>
          <w:sz w:val="21"/>
        </w:rPr>
        <w:t>在板车出入库及作业时，按照理想要求在小程序上传板车照片。</w:t>
      </w:r>
    </w:p>
    <w:p w:rsidR="00C041D0" w:rsidRDefault="003223E6">
      <w:pPr>
        <w:spacing w:before="0" w:after="0"/>
        <w:rPr>
          <w:color w:val="000000"/>
          <w:sz w:val="21"/>
        </w:rPr>
      </w:pPr>
      <w:r>
        <w:rPr>
          <w:color w:val="000000"/>
          <w:sz w:val="21"/>
        </w:rPr>
        <w:t xml:space="preserve">    f)  </w:t>
      </w:r>
      <w:r>
        <w:rPr>
          <w:color w:val="000000"/>
          <w:sz w:val="21"/>
        </w:rPr>
        <w:t>按照理想要求上传商品车在板车上的停放位置。</w:t>
      </w:r>
      <w:r>
        <w:rPr>
          <w:color w:val="000000"/>
          <w:sz w:val="21"/>
        </w:rPr>
        <w:t xml:space="preserve"> </w:t>
      </w:r>
    </w:p>
    <w:p w:rsidR="00C041D0" w:rsidRDefault="003223E6">
      <w:pPr>
        <w:spacing w:before="0" w:after="0"/>
        <w:rPr>
          <w:color w:val="000000"/>
          <w:sz w:val="21"/>
        </w:rPr>
      </w:pPr>
      <w:r>
        <w:rPr>
          <w:color w:val="000000"/>
          <w:sz w:val="21"/>
        </w:rPr>
        <w:t xml:space="preserve">    ②  </w:t>
      </w:r>
      <w:r>
        <w:rPr>
          <w:color w:val="000000"/>
          <w:sz w:val="21"/>
        </w:rPr>
        <w:t>目的港码头现场操作</w:t>
      </w:r>
    </w:p>
    <w:p w:rsidR="00C041D0" w:rsidRDefault="003223E6">
      <w:pPr>
        <w:spacing w:before="0" w:after="0"/>
        <w:rPr>
          <w:color w:val="000000"/>
          <w:sz w:val="21"/>
        </w:rPr>
      </w:pPr>
      <w:r>
        <w:rPr>
          <w:color w:val="000000"/>
          <w:sz w:val="21"/>
        </w:rPr>
        <w:t xml:space="preserve">    a)  </w:t>
      </w:r>
      <w:r>
        <w:rPr>
          <w:color w:val="000000"/>
          <w:sz w:val="21"/>
        </w:rPr>
        <w:t>监督板车现场作业，</w:t>
      </w:r>
      <w:r>
        <w:rPr>
          <w:color w:val="000000"/>
          <w:sz w:val="21"/>
        </w:rPr>
        <w:t>有司机延迟进厂、板车和装车作业不合规等违规情况第一时间上报。</w:t>
      </w:r>
    </w:p>
    <w:p w:rsidR="00C041D0" w:rsidRDefault="003223E6">
      <w:pPr>
        <w:spacing w:before="0" w:after="0"/>
        <w:rPr>
          <w:color w:val="000000"/>
          <w:sz w:val="21"/>
        </w:rPr>
      </w:pPr>
      <w:r>
        <w:rPr>
          <w:color w:val="000000"/>
          <w:sz w:val="21"/>
        </w:rPr>
        <w:t xml:space="preserve">    b)  </w:t>
      </w:r>
      <w:r>
        <w:rPr>
          <w:color w:val="000000"/>
          <w:sz w:val="21"/>
        </w:rPr>
        <w:t>在板车入港提车作业时，按照理想要求在小程序上传板车照片。</w:t>
      </w:r>
    </w:p>
    <w:p w:rsidR="00C041D0" w:rsidRDefault="003223E6">
      <w:pPr>
        <w:spacing w:before="0" w:after="0"/>
        <w:rPr>
          <w:color w:val="000000"/>
          <w:sz w:val="21"/>
        </w:rPr>
      </w:pPr>
      <w:r>
        <w:rPr>
          <w:color w:val="000000"/>
          <w:sz w:val="21"/>
        </w:rPr>
        <w:t xml:space="preserve">    c)  </w:t>
      </w:r>
      <w:r>
        <w:rPr>
          <w:color w:val="000000"/>
          <w:sz w:val="21"/>
        </w:rPr>
        <w:t>按照理想要求上传商品车在板车上的停放位置。</w:t>
      </w:r>
      <w:r>
        <w:rPr>
          <w:color w:val="000000"/>
          <w:sz w:val="21"/>
        </w:rPr>
        <w:t xml:space="preserve"> </w:t>
      </w:r>
    </w:p>
    <w:p w:rsidR="00C041D0" w:rsidRDefault="00C041D0">
      <w:pPr>
        <w:spacing w:before="0" w:after="0"/>
      </w:pPr>
    </w:p>
    <w:p w:rsidR="00C041D0" w:rsidRDefault="003223E6">
      <w:pPr>
        <w:spacing w:before="0" w:after="0"/>
        <w:rPr>
          <w:rFonts w:ascii="宋体" w:eastAsia="宋体" w:hAnsi="宋体" w:cs="宋体"/>
        </w:rPr>
      </w:pPr>
      <w:r>
        <w:rPr>
          <w:color w:val="000000"/>
          <w:sz w:val="21"/>
        </w:rPr>
        <w:t>四、重要操作要求</w:t>
      </w:r>
    </w:p>
    <w:p w:rsidR="00C041D0" w:rsidRDefault="003223E6">
      <w:pPr>
        <w:spacing w:before="0" w:after="0"/>
        <w:rPr>
          <w:rFonts w:ascii="宋体" w:eastAsia="宋体" w:hAnsi="宋体" w:cs="宋体"/>
        </w:rPr>
      </w:pPr>
      <w:r>
        <w:rPr>
          <w:color w:val="000000"/>
          <w:sz w:val="21"/>
        </w:rPr>
        <w:t xml:space="preserve">    ①  </w:t>
      </w:r>
      <w:r>
        <w:rPr>
          <w:color w:val="000000"/>
          <w:sz w:val="21"/>
        </w:rPr>
        <w:t>公路供应商需自备一个有</w:t>
      </w:r>
      <w:r>
        <w:rPr>
          <w:color w:val="000000"/>
          <w:sz w:val="21"/>
        </w:rPr>
        <w:t>盖的铁盒，驾驶员将板车上所有商品车的钥匙统一收取在铁盒内，并放置在驾驶室内。</w:t>
      </w:r>
    </w:p>
    <w:p w:rsidR="00C041D0" w:rsidRDefault="003223E6">
      <w:pPr>
        <w:spacing w:before="0" w:after="0"/>
        <w:rPr>
          <w:color w:val="000000"/>
          <w:sz w:val="21"/>
        </w:rPr>
      </w:pPr>
      <w:r>
        <w:rPr>
          <w:color w:val="000000"/>
          <w:sz w:val="21"/>
        </w:rPr>
        <w:t xml:space="preserve">    ②  </w:t>
      </w:r>
      <w:r>
        <w:rPr>
          <w:color w:val="000000"/>
          <w:sz w:val="21"/>
        </w:rPr>
        <w:t>确保装车、卸车后车辆处于锁车状态，钥匙不允许放置在车内。</w:t>
      </w:r>
    </w:p>
    <w:p w:rsidR="00C041D0" w:rsidRDefault="003223E6">
      <w:pPr>
        <w:spacing w:before="0" w:after="0"/>
        <w:rPr>
          <w:color w:val="000000"/>
          <w:sz w:val="21"/>
        </w:rPr>
      </w:pPr>
      <w:r>
        <w:rPr>
          <w:color w:val="000000"/>
          <w:sz w:val="21"/>
        </w:rPr>
        <w:t xml:space="preserve">    ③  </w:t>
      </w:r>
      <w:r>
        <w:rPr>
          <w:color w:val="000000"/>
          <w:sz w:val="21"/>
        </w:rPr>
        <w:t>装车前检查商品车是否处于物流运输模式，若未处于该模式需及时调整。</w:t>
      </w:r>
    </w:p>
    <w:p w:rsidR="00C041D0" w:rsidRDefault="003223E6">
      <w:pPr>
        <w:spacing w:before="0" w:after="0"/>
        <w:rPr>
          <w:color w:val="000000"/>
          <w:sz w:val="21"/>
        </w:rPr>
      </w:pPr>
      <w:r>
        <w:rPr>
          <w:color w:val="000000"/>
          <w:sz w:val="21"/>
        </w:rPr>
        <w:t xml:space="preserve">    ④  </w:t>
      </w:r>
      <w:r>
        <w:rPr>
          <w:color w:val="000000"/>
          <w:sz w:val="21"/>
        </w:rPr>
        <w:t>理想车辆提车时出库（常州）电量不应低于</w:t>
      </w:r>
      <w:r>
        <w:rPr>
          <w:color w:val="000000"/>
          <w:sz w:val="21"/>
        </w:rPr>
        <w:t>40%</w:t>
      </w:r>
      <w:r>
        <w:rPr>
          <w:color w:val="000000"/>
          <w:sz w:val="21"/>
        </w:rPr>
        <w:t>，若低于</w:t>
      </w:r>
      <w:r>
        <w:rPr>
          <w:color w:val="000000"/>
          <w:sz w:val="21"/>
        </w:rPr>
        <w:t>40%</w:t>
      </w:r>
      <w:r>
        <w:rPr>
          <w:color w:val="000000"/>
          <w:sz w:val="21"/>
        </w:rPr>
        <w:t>需及时提出。</w:t>
      </w:r>
    </w:p>
    <w:p w:rsidR="00C041D0" w:rsidRDefault="00C041D0">
      <w:pPr>
        <w:spacing w:before="0" w:after="0"/>
        <w:rPr>
          <w:rFonts w:ascii="宋体" w:eastAsia="宋体" w:hAnsi="宋体" w:cs="宋体"/>
        </w:rPr>
      </w:pPr>
    </w:p>
    <w:p w:rsidR="00C041D0" w:rsidRDefault="003223E6">
      <w:pPr>
        <w:spacing w:before="0" w:after="0"/>
        <w:rPr>
          <w:rFonts w:ascii="宋体" w:eastAsia="宋体" w:hAnsi="宋体" w:cs="宋体"/>
        </w:rPr>
      </w:pPr>
      <w:r>
        <w:rPr>
          <w:color w:val="000000"/>
          <w:sz w:val="21"/>
        </w:rPr>
        <w:t>五、流程</w:t>
      </w:r>
    </w:p>
    <w:p w:rsidR="00C041D0" w:rsidRDefault="003223E6">
      <w:pPr>
        <w:spacing w:before="0" w:after="0"/>
        <w:rPr>
          <w:rFonts w:ascii="宋体" w:eastAsia="宋体" w:hAnsi="宋体" w:cs="宋体"/>
        </w:rPr>
      </w:pPr>
      <w:r>
        <w:rPr>
          <w:color w:val="000000"/>
          <w:sz w:val="21"/>
        </w:rPr>
        <w:t xml:space="preserve">    ①  </w:t>
      </w:r>
      <w:r>
        <w:rPr>
          <w:color w:val="000000"/>
          <w:sz w:val="21"/>
        </w:rPr>
        <w:t>常州出库流程</w:t>
      </w:r>
    </w:p>
    <w:p w:rsidR="00C041D0" w:rsidRDefault="003223E6">
      <w:pPr>
        <w:spacing w:before="0" w:after="0"/>
        <w:ind w:left="880"/>
        <w:rPr>
          <w:rFonts w:ascii="宋体" w:eastAsia="宋体" w:hAnsi="宋体" w:cs="宋体"/>
        </w:rPr>
      </w:pPr>
      <w:r>
        <w:rPr>
          <w:rFonts w:ascii="宋体" w:eastAsia="宋体" w:hAnsi="宋体" w:cs="宋体"/>
          <w:noProof/>
        </w:rPr>
        <w:drawing>
          <wp:inline distT="0" distB="0" distL="0" distR="0">
            <wp:extent cx="4719320" cy="2109393"/>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3" name="picture" descr="descript"/>
                    <pic:cNvPicPr/>
                  </pic:nvPicPr>
                  <pic:blipFill rotWithShape="1">
                    <a:blip r:embed="rId5"/>
                    <a:stretch/>
                  </pic:blipFill>
                  <pic:spPr>
                    <a:xfrm>
                      <a:off x="0" y="0"/>
                      <a:ext cx="4719320" cy="2109393"/>
                    </a:xfrm>
                    <a:prstGeom prst="rect">
                      <a:avLst/>
                    </a:prstGeom>
                  </pic:spPr>
                </pic:pic>
              </a:graphicData>
            </a:graphic>
          </wp:inline>
        </w:drawing>
      </w:r>
    </w:p>
    <w:p w:rsidR="00C041D0" w:rsidRDefault="00C041D0">
      <w:pPr>
        <w:spacing w:before="0" w:after="0"/>
        <w:ind w:left="880"/>
        <w:rPr>
          <w:rFonts w:ascii="宋体" w:eastAsia="宋体" w:hAnsi="宋体" w:cs="宋体"/>
        </w:rPr>
      </w:pPr>
    </w:p>
    <w:p w:rsidR="00C041D0" w:rsidRDefault="003223E6">
      <w:pPr>
        <w:spacing w:before="0" w:after="0"/>
        <w:rPr>
          <w:rFonts w:ascii="宋体" w:eastAsia="宋体" w:hAnsi="宋体" w:cs="宋体"/>
        </w:rPr>
      </w:pPr>
      <w:r>
        <w:rPr>
          <w:color w:val="000000"/>
          <w:sz w:val="21"/>
        </w:rPr>
        <w:t xml:space="preserve">    ②  </w:t>
      </w:r>
      <w:r>
        <w:rPr>
          <w:color w:val="000000"/>
          <w:sz w:val="21"/>
        </w:rPr>
        <w:t>南港进港流程</w:t>
      </w:r>
    </w:p>
    <w:p w:rsidR="00C041D0" w:rsidRDefault="003223E6">
      <w:pPr>
        <w:spacing w:before="0" w:after="0"/>
        <w:ind w:left="880"/>
        <w:rPr>
          <w:rFonts w:ascii="宋体" w:eastAsia="宋体" w:hAnsi="宋体" w:cs="宋体"/>
        </w:rPr>
      </w:pPr>
      <w:r>
        <w:rPr>
          <w:rFonts w:ascii="宋体" w:eastAsia="宋体" w:hAnsi="宋体" w:cs="宋体"/>
          <w:noProof/>
        </w:rPr>
        <w:drawing>
          <wp:inline distT="0" distB="0" distL="0" distR="0">
            <wp:extent cx="4719320" cy="2598971"/>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6" name="picture" descr="descript"/>
                    <pic:cNvPicPr/>
                  </pic:nvPicPr>
                  <pic:blipFill rotWithShape="1">
                    <a:blip r:embed="rId6"/>
                    <a:stretch/>
                  </pic:blipFill>
                  <pic:spPr>
                    <a:xfrm>
                      <a:off x="0" y="0"/>
                      <a:ext cx="4719320" cy="2598971"/>
                    </a:xfrm>
                    <a:prstGeom prst="rect">
                      <a:avLst/>
                    </a:prstGeom>
                  </pic:spPr>
                </pic:pic>
              </a:graphicData>
            </a:graphic>
          </wp:inline>
        </w:drawing>
      </w:r>
    </w:p>
    <w:p w:rsidR="00C041D0" w:rsidRDefault="00C041D0">
      <w:pPr>
        <w:spacing w:before="0" w:after="0"/>
        <w:ind w:left="880"/>
        <w:rPr>
          <w:rFonts w:ascii="宋体" w:eastAsia="宋体" w:hAnsi="宋体" w:cs="宋体"/>
        </w:rPr>
      </w:pPr>
    </w:p>
    <w:p w:rsidR="00C041D0" w:rsidRDefault="003223E6">
      <w:pPr>
        <w:spacing w:before="0" w:after="0"/>
        <w:rPr>
          <w:rFonts w:ascii="宋体" w:eastAsia="宋体" w:hAnsi="宋体" w:cs="宋体"/>
        </w:rPr>
      </w:pPr>
      <w:r>
        <w:rPr>
          <w:color w:val="000000"/>
          <w:sz w:val="21"/>
        </w:rPr>
        <w:t xml:space="preserve">    ③  </w:t>
      </w:r>
      <w:r>
        <w:rPr>
          <w:color w:val="000000"/>
          <w:sz w:val="21"/>
        </w:rPr>
        <w:t>目的港分拨流程</w:t>
      </w:r>
    </w:p>
    <w:p w:rsidR="00C041D0" w:rsidRDefault="003223E6">
      <w:pPr>
        <w:spacing w:before="0" w:after="0"/>
        <w:ind w:left="880"/>
        <w:rPr>
          <w:rFonts w:ascii="宋体" w:eastAsia="宋体" w:hAnsi="宋体" w:cs="宋体"/>
        </w:rPr>
      </w:pPr>
      <w:r>
        <w:rPr>
          <w:rFonts w:ascii="宋体" w:eastAsia="宋体" w:hAnsi="宋体" w:cs="宋体"/>
          <w:noProof/>
        </w:rPr>
        <w:lastRenderedPageBreak/>
        <w:drawing>
          <wp:inline distT="0" distB="0" distL="0" distR="0">
            <wp:extent cx="4719320" cy="2599712"/>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9" name="picture" descr="descript"/>
                    <pic:cNvPicPr/>
                  </pic:nvPicPr>
                  <pic:blipFill rotWithShape="1">
                    <a:blip r:embed="rId7"/>
                    <a:stretch/>
                  </pic:blipFill>
                  <pic:spPr>
                    <a:xfrm>
                      <a:off x="0" y="0"/>
                      <a:ext cx="4719320" cy="2599712"/>
                    </a:xfrm>
                    <a:prstGeom prst="rect">
                      <a:avLst/>
                    </a:prstGeom>
                  </pic:spPr>
                </pic:pic>
              </a:graphicData>
            </a:graphic>
          </wp:inline>
        </w:drawing>
      </w:r>
    </w:p>
    <w:p w:rsidR="00C041D0" w:rsidRDefault="00C041D0">
      <w:pPr>
        <w:spacing w:before="0" w:after="0"/>
        <w:ind w:left="880"/>
        <w:rPr>
          <w:rFonts w:ascii="宋体" w:eastAsia="宋体" w:hAnsi="宋体" w:cs="宋体"/>
        </w:rPr>
      </w:pPr>
    </w:p>
    <w:p w:rsidR="00C041D0" w:rsidRDefault="003223E6">
      <w:pPr>
        <w:spacing w:before="0" w:after="0"/>
        <w:rPr>
          <w:rFonts w:ascii="宋体" w:eastAsia="宋体" w:hAnsi="宋体" w:cs="宋体"/>
        </w:rPr>
      </w:pPr>
      <w:r>
        <w:rPr>
          <w:color w:val="000000"/>
          <w:sz w:val="21"/>
        </w:rPr>
        <w:t xml:space="preserve">    ④  </w:t>
      </w:r>
      <w:r>
        <w:rPr>
          <w:color w:val="000000"/>
          <w:sz w:val="21"/>
        </w:rPr>
        <w:t>交付中心</w:t>
      </w:r>
      <w:r>
        <w:rPr>
          <w:color w:val="000000"/>
          <w:sz w:val="21"/>
        </w:rPr>
        <w:t>/</w:t>
      </w:r>
      <w:r>
        <w:rPr>
          <w:color w:val="000000"/>
          <w:sz w:val="21"/>
        </w:rPr>
        <w:t>目的</w:t>
      </w:r>
      <w:r>
        <w:rPr>
          <w:color w:val="000000"/>
          <w:sz w:val="21"/>
        </w:rPr>
        <w:t>VDC</w:t>
      </w:r>
      <w:r>
        <w:rPr>
          <w:color w:val="000000"/>
          <w:sz w:val="21"/>
        </w:rPr>
        <w:t>交车流程</w:t>
      </w:r>
    </w:p>
    <w:p w:rsidR="00C041D0" w:rsidRDefault="003223E6">
      <w:pPr>
        <w:spacing w:before="0" w:after="0"/>
        <w:ind w:left="880"/>
        <w:jc w:val="center"/>
        <w:rPr>
          <w:rFonts w:ascii="宋体" w:eastAsia="宋体" w:hAnsi="宋体" w:cs="宋体"/>
        </w:rPr>
      </w:pPr>
      <w:r>
        <w:rPr>
          <w:rFonts w:ascii="宋体" w:eastAsia="宋体" w:hAnsi="宋体" w:cs="宋体"/>
          <w:noProof/>
        </w:rPr>
        <w:drawing>
          <wp:inline distT="0" distB="0" distL="0" distR="0">
            <wp:extent cx="3607916" cy="3512308"/>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2" name="picture" descr="descript"/>
                    <pic:cNvPicPr/>
                  </pic:nvPicPr>
                  <pic:blipFill rotWithShape="1">
                    <a:blip r:embed="rId8"/>
                    <a:srcRect/>
                    <a:stretch/>
                  </pic:blipFill>
                  <pic:spPr>
                    <a:xfrm>
                      <a:off x="0" y="0"/>
                      <a:ext cx="3607916" cy="3512308"/>
                    </a:xfrm>
                    <a:prstGeom prst="rect">
                      <a:avLst/>
                    </a:prstGeom>
                  </pic:spPr>
                </pic:pic>
              </a:graphicData>
            </a:graphic>
          </wp:inline>
        </w:drawing>
      </w:r>
    </w:p>
    <w:p w:rsidR="00C041D0" w:rsidRDefault="003223E6">
      <w:pPr>
        <w:spacing w:before="0" w:after="0"/>
        <w:rPr>
          <w:rFonts w:ascii="宋体" w:eastAsia="宋体" w:hAnsi="宋体" w:cs="宋体"/>
        </w:rPr>
      </w:pPr>
      <w:r>
        <w:rPr>
          <w:color w:val="000000"/>
          <w:sz w:val="21"/>
        </w:rPr>
        <w:t>六、责任划分规则</w:t>
      </w:r>
    </w:p>
    <w:p w:rsidR="00C041D0" w:rsidRDefault="003223E6">
      <w:pPr>
        <w:spacing w:before="0" w:after="0"/>
        <w:ind w:left="2"/>
        <w:jc w:val="left"/>
      </w:pPr>
      <w:r>
        <w:t xml:space="preserve">    ①  </w:t>
      </w:r>
      <w:r>
        <w:t>集港运输：码头现场整批交接，质损情况均上传理想小程序；从常州提车交接后至南港卸车交接时产生的质损，为</w:t>
      </w:r>
      <w:r>
        <w:rPr>
          <w:color w:val="000000"/>
          <w:sz w:val="21"/>
        </w:rPr>
        <w:t>公路服务商</w:t>
      </w:r>
      <w:r>
        <w:t>责任。</w:t>
      </w:r>
    </w:p>
    <w:p w:rsidR="00C041D0" w:rsidRDefault="003223E6">
      <w:pPr>
        <w:spacing w:before="0" w:after="0"/>
        <w:ind w:left="2"/>
        <w:jc w:val="left"/>
      </w:pPr>
      <w:r>
        <w:t xml:space="preserve">    ②  </w:t>
      </w:r>
      <w:r>
        <w:t>分拨运输：码头现场整批交接，质损情况以签纸质质损单为准；从码头整批交接后至交付中心</w:t>
      </w:r>
      <w:r>
        <w:t>/VDC</w:t>
      </w:r>
      <w:r>
        <w:t>交接时产生的质损，为</w:t>
      </w:r>
      <w:r>
        <w:rPr>
          <w:color w:val="000000"/>
          <w:sz w:val="21"/>
        </w:rPr>
        <w:t>公路服务商</w:t>
      </w:r>
      <w:r>
        <w:t>责任。</w:t>
      </w:r>
    </w:p>
    <w:p w:rsidR="00C041D0" w:rsidRDefault="00C041D0">
      <w:pPr>
        <w:spacing w:before="0" w:after="0"/>
        <w:ind w:left="2"/>
        <w:jc w:val="left"/>
      </w:pPr>
    </w:p>
    <w:p w:rsidR="00C041D0" w:rsidRDefault="003223E6">
      <w:pPr>
        <w:spacing w:before="0" w:after="0"/>
        <w:rPr>
          <w:rFonts w:ascii="宋体" w:eastAsia="宋体" w:hAnsi="宋体" w:cs="宋体"/>
        </w:rPr>
      </w:pPr>
      <w:r>
        <w:rPr>
          <w:color w:val="000000"/>
          <w:sz w:val="21"/>
        </w:rPr>
        <w:t>七、</w:t>
      </w:r>
      <w:r>
        <w:rPr>
          <w:color w:val="000000"/>
          <w:sz w:val="21"/>
        </w:rPr>
        <w:t>KPI</w:t>
      </w:r>
    </w:p>
    <w:tbl>
      <w:tblPr>
        <w:tblStyle w:val="a9"/>
        <w:tblW w:w="0" w:type="auto"/>
        <w:tblLayout w:type="fixed"/>
        <w:tblLook w:val="04A0" w:firstRow="1" w:lastRow="0" w:firstColumn="1" w:lastColumn="0" w:noHBand="0" w:noVBand="1"/>
      </w:tblPr>
      <w:tblGrid>
        <w:gridCol w:w="690"/>
        <w:gridCol w:w="1125"/>
        <w:gridCol w:w="4245"/>
        <w:gridCol w:w="1770"/>
      </w:tblGrid>
      <w:tr w:rsidR="00C041D0">
        <w:tc>
          <w:tcPr>
            <w:tcW w:w="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b/>
                <w:color w:val="000000"/>
                <w:sz w:val="21"/>
              </w:rPr>
              <w:lastRenderedPageBreak/>
              <w:t>序号</w:t>
            </w:r>
          </w:p>
        </w:tc>
        <w:tc>
          <w:tcPr>
            <w:tcW w:w="112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b/>
                <w:color w:val="000000"/>
                <w:sz w:val="21"/>
              </w:rPr>
              <w:t>分类</w:t>
            </w:r>
          </w:p>
        </w:tc>
        <w:tc>
          <w:tcPr>
            <w:tcW w:w="424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b/>
                <w:color w:val="000000"/>
                <w:sz w:val="21"/>
              </w:rPr>
              <w:t>考核项目</w:t>
            </w:r>
          </w:p>
        </w:tc>
        <w:tc>
          <w:tcPr>
            <w:tcW w:w="1770"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b/>
                <w:color w:val="000000"/>
                <w:sz w:val="21"/>
              </w:rPr>
              <w:t>考核标准</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tcPr>
          <w:p w:rsidR="00C041D0" w:rsidRDefault="003223E6">
            <w:pPr>
              <w:spacing w:before="0" w:after="0"/>
              <w:jc w:val="center"/>
            </w:pPr>
            <w:r>
              <w:rPr>
                <w:color w:val="000000"/>
                <w:sz w:val="21"/>
              </w:rPr>
              <w:t>1</w:t>
            </w:r>
          </w:p>
        </w:tc>
        <w:tc>
          <w:tcPr>
            <w:tcW w:w="112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tcPr>
          <w:p w:rsidR="00C041D0" w:rsidRDefault="003223E6">
            <w:pPr>
              <w:spacing w:before="0" w:after="0"/>
              <w:jc w:val="center"/>
            </w:pPr>
            <w:r>
              <w:rPr>
                <w:color w:val="000000"/>
                <w:sz w:val="21"/>
              </w:rPr>
              <w:t>运力</w:t>
            </w: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tcPr>
          <w:p w:rsidR="00C041D0" w:rsidRDefault="003223E6">
            <w:pPr>
              <w:spacing w:before="0" w:after="0"/>
              <w:jc w:val="center"/>
            </w:pPr>
            <w:r>
              <w:t>未达到原定保障运力要求</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tcPr>
          <w:p w:rsidR="00C041D0" w:rsidRDefault="003223E6">
            <w:pPr>
              <w:spacing w:before="0" w:after="0"/>
              <w:jc w:val="center"/>
            </w:pPr>
            <w:r>
              <w:rPr>
                <w:color w:val="000000"/>
                <w:sz w:val="21"/>
              </w:rPr>
              <w:t>帮运差价</w:t>
            </w:r>
            <w:r>
              <w:rPr>
                <w:color w:val="000000"/>
                <w:sz w:val="21"/>
              </w:rPr>
              <w:t>+</w:t>
            </w:r>
            <w:r>
              <w:rPr>
                <w:color w:val="000000"/>
                <w:sz w:val="21"/>
              </w:rPr>
              <w:t>客户考核</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w:t>
            </w:r>
          </w:p>
        </w:tc>
        <w:tc>
          <w:tcPr>
            <w:tcW w:w="1125" w:type="dxa"/>
            <w:vMerge w:val="restart"/>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tcPr>
          <w:p w:rsidR="00C041D0" w:rsidRDefault="003223E6">
            <w:pPr>
              <w:spacing w:before="0" w:after="0"/>
              <w:jc w:val="center"/>
            </w:pPr>
            <w:r>
              <w:rPr>
                <w:color w:val="000000"/>
                <w:sz w:val="21"/>
              </w:rPr>
              <w:t>响应不及时</w:t>
            </w: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未及时反馈运力</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2000</w:t>
            </w:r>
            <w:r>
              <w:rPr>
                <w:color w:val="000000"/>
                <w:sz w:val="21"/>
              </w:rPr>
              <w:t>元</w:t>
            </w:r>
            <w:r>
              <w:rPr>
                <w:color w:val="000000"/>
                <w:sz w:val="21"/>
              </w:rPr>
              <w:t>/</w:t>
            </w:r>
            <w:r>
              <w:rPr>
                <w:color w:val="000000"/>
                <w:sz w:val="21"/>
              </w:rPr>
              <w:t>次</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3</w:t>
            </w:r>
          </w:p>
        </w:tc>
        <w:tc>
          <w:tcPr>
            <w:tcW w:w="1125" w:type="dxa"/>
            <w:vMerge/>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tcPr>
          <w:p w:rsidR="00C041D0" w:rsidRDefault="00C041D0">
            <w:pPr>
              <w:jc w:val="center"/>
            </w:pP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t>未于预计提车时间到达提车</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2000</w:t>
            </w:r>
            <w:r>
              <w:rPr>
                <w:color w:val="000000"/>
                <w:sz w:val="21"/>
              </w:rPr>
              <w:t>元</w:t>
            </w:r>
            <w:r>
              <w:rPr>
                <w:color w:val="000000"/>
                <w:sz w:val="21"/>
              </w:rPr>
              <w:t>/</w:t>
            </w:r>
            <w:r>
              <w:rPr>
                <w:color w:val="000000"/>
                <w:sz w:val="21"/>
              </w:rPr>
              <w:t>次</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4</w:t>
            </w:r>
          </w:p>
        </w:tc>
        <w:tc>
          <w:tcPr>
            <w:tcW w:w="1125" w:type="dxa"/>
            <w:vMerge/>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tcPr>
          <w:p w:rsidR="00C041D0" w:rsidRDefault="00C041D0">
            <w:pPr>
              <w:jc w:val="center"/>
            </w:pP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未及时反馈在途信息</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2000</w:t>
            </w:r>
            <w:r>
              <w:rPr>
                <w:color w:val="000000"/>
                <w:sz w:val="21"/>
              </w:rPr>
              <w:t>元</w:t>
            </w:r>
            <w:r>
              <w:rPr>
                <w:color w:val="000000"/>
                <w:sz w:val="21"/>
              </w:rPr>
              <w:t>/</w:t>
            </w:r>
            <w:r>
              <w:rPr>
                <w:color w:val="000000"/>
                <w:sz w:val="21"/>
              </w:rPr>
              <w:t>次</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5</w:t>
            </w:r>
          </w:p>
        </w:tc>
        <w:tc>
          <w:tcPr>
            <w:tcW w:w="1125" w:type="dxa"/>
            <w:vMerge/>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tcPr>
          <w:p w:rsidR="00C041D0" w:rsidRDefault="00C041D0">
            <w:pPr>
              <w:jc w:val="center"/>
            </w:pP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各环节小程序未及时操作</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2000</w:t>
            </w:r>
            <w:r>
              <w:rPr>
                <w:color w:val="000000"/>
                <w:sz w:val="21"/>
              </w:rPr>
              <w:t>元</w:t>
            </w:r>
            <w:r>
              <w:rPr>
                <w:color w:val="000000"/>
                <w:sz w:val="21"/>
              </w:rPr>
              <w:t>/</w:t>
            </w:r>
            <w:r>
              <w:rPr>
                <w:color w:val="000000"/>
                <w:sz w:val="21"/>
              </w:rPr>
              <w:t>次</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6</w:t>
            </w:r>
          </w:p>
        </w:tc>
        <w:tc>
          <w:tcPr>
            <w:tcW w:w="1125" w:type="dxa"/>
            <w:vMerge w:val="restart"/>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3"/>
              </w:rPr>
              <w:t>违</w:t>
            </w:r>
            <w:r>
              <w:rPr>
                <w:color w:val="000000"/>
                <w:sz w:val="21"/>
              </w:rPr>
              <w:t>规操作</w:t>
            </w: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未按码头要求停放商品车</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2000</w:t>
            </w:r>
            <w:r>
              <w:rPr>
                <w:color w:val="000000"/>
                <w:sz w:val="21"/>
              </w:rPr>
              <w:t>元</w:t>
            </w:r>
            <w:r>
              <w:rPr>
                <w:color w:val="000000"/>
                <w:sz w:val="21"/>
              </w:rPr>
              <w:t>/VIN</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t>7</w:t>
            </w:r>
          </w:p>
        </w:tc>
        <w:tc>
          <w:tcPr>
            <w:tcW w:w="1125" w:type="dxa"/>
            <w:vMerge/>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C041D0">
            <w:pPr>
              <w:spacing w:before="0" w:after="0"/>
              <w:jc w:val="center"/>
            </w:pP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t>现场或司机未按要求进行装卸车操作</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2000</w:t>
            </w:r>
            <w:r>
              <w:rPr>
                <w:color w:val="000000"/>
                <w:sz w:val="21"/>
              </w:rPr>
              <w:t>元</w:t>
            </w:r>
            <w:r>
              <w:rPr>
                <w:color w:val="000000"/>
                <w:sz w:val="21"/>
              </w:rPr>
              <w:t>/VIN</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t>8</w:t>
            </w:r>
          </w:p>
        </w:tc>
        <w:tc>
          <w:tcPr>
            <w:tcW w:w="112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t>异常更改</w:t>
            </w: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t>修改已上报的提车计划</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2000</w:t>
            </w:r>
            <w:r>
              <w:rPr>
                <w:color w:val="000000"/>
                <w:sz w:val="21"/>
              </w:rPr>
              <w:t>元</w:t>
            </w:r>
            <w:r>
              <w:rPr>
                <w:color w:val="000000"/>
                <w:sz w:val="21"/>
              </w:rPr>
              <w:t>/</w:t>
            </w:r>
            <w:r>
              <w:rPr>
                <w:color w:val="000000"/>
                <w:sz w:val="21"/>
              </w:rPr>
              <w:t>次</w:t>
            </w:r>
          </w:p>
        </w:tc>
      </w:tr>
      <w:tr w:rsidR="00C041D0">
        <w:tc>
          <w:tcPr>
            <w:tcW w:w="690" w:type="dxa"/>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sz w:val="21"/>
              </w:rPr>
              <w:t>9</w:t>
            </w:r>
          </w:p>
        </w:tc>
        <w:tc>
          <w:tcPr>
            <w:tcW w:w="112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rPr>
              <w:t>异常联络</w:t>
            </w:r>
          </w:p>
        </w:tc>
        <w:tc>
          <w:tcPr>
            <w:tcW w:w="424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rPr>
              <w:t>驾驶员直接联系安吉远海或安吉远海现场</w:t>
            </w:r>
          </w:p>
        </w:tc>
        <w:tc>
          <w:tcPr>
            <w:tcW w:w="177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top"/>
          </w:tcPr>
          <w:p w:rsidR="00C041D0" w:rsidRDefault="003223E6">
            <w:pPr>
              <w:spacing w:before="0" w:after="0"/>
              <w:jc w:val="center"/>
            </w:pPr>
            <w:r>
              <w:rPr>
                <w:color w:val="000000"/>
              </w:rPr>
              <w:t>2000</w:t>
            </w:r>
            <w:r>
              <w:rPr>
                <w:color w:val="000000"/>
              </w:rPr>
              <w:t>元</w:t>
            </w:r>
            <w:r>
              <w:rPr>
                <w:color w:val="000000"/>
              </w:rPr>
              <w:t>/</w:t>
            </w:r>
            <w:r>
              <w:rPr>
                <w:color w:val="000000"/>
              </w:rPr>
              <w:t>次</w:t>
            </w:r>
          </w:p>
        </w:tc>
      </w:tr>
    </w:tbl>
    <w:p w:rsidR="00C041D0" w:rsidRDefault="003223E6">
      <w:pPr>
        <w:spacing w:before="0" w:after="0"/>
        <w:ind w:left="432"/>
      </w:pPr>
      <w:r>
        <w:rPr>
          <w:color w:val="000000"/>
          <w:sz w:val="21"/>
        </w:rPr>
        <w:t>注：以上考核标准，除</w:t>
      </w:r>
      <w:r>
        <w:t>未达到原定保障运力要求</w:t>
      </w:r>
      <w:r>
        <w:rPr>
          <w:color w:val="000000"/>
          <w:sz w:val="21"/>
        </w:rPr>
        <w:t>外，同一类问题首次发生后警告、二次约谈、第三次开始正式考核</w:t>
      </w:r>
    </w:p>
    <w:p w:rsidR="00C041D0" w:rsidRDefault="003223E6">
      <w:pPr>
        <w:spacing w:before="0" w:after="0"/>
        <w:ind w:left="432"/>
      </w:pPr>
      <w:r>
        <w:rPr>
          <w:color w:val="000000"/>
          <w:sz w:val="21"/>
        </w:rPr>
        <w:t> </w:t>
      </w:r>
    </w:p>
    <w:p w:rsidR="00C041D0" w:rsidRDefault="003223E6">
      <w:pPr>
        <w:spacing w:before="0" w:after="0"/>
        <w:rPr>
          <w:rFonts w:ascii="宋体" w:eastAsia="宋体" w:hAnsi="宋体" w:cs="宋体"/>
        </w:rPr>
      </w:pPr>
      <w:r>
        <w:rPr>
          <w:color w:val="000000"/>
          <w:sz w:val="21"/>
        </w:rPr>
        <w:t>八、绩效考核</w:t>
      </w:r>
    </w:p>
    <w:p w:rsidR="00C041D0" w:rsidRDefault="003223E6">
      <w:pPr>
        <w:spacing w:before="0" w:after="0"/>
      </w:pPr>
      <w:r>
        <w:rPr>
          <w:color w:val="000000"/>
          <w:sz w:val="21"/>
        </w:rPr>
        <w:t>按照理想客户要求背靠背考核</w:t>
      </w:r>
    </w:p>
    <w:p w:rsidR="00C041D0" w:rsidRDefault="00C041D0"/>
    <w:sectPr w:rsidR="00C041D0">
      <w:pgSz w:w="11906" w:h="16838"/>
      <w:pgMar w:top="1440" w:right="1797" w:bottom="1440" w:left="1797" w:header="851" w:footer="992" w:gutter="0"/>
      <w:cols w:space="0"/>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onaco">
    <w:altName w:val="Monaco"/>
    <w:charset w:val="00"/>
    <w:family w:val="auto"/>
    <w:pitch w:val="variable"/>
    <w:sig w:usb0="A00002FF" w:usb1="500039FB" w:usb2="00000000" w:usb3="00000000" w:csb0="00000197"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77C3C"/>
    <w:multiLevelType w:val="multilevel"/>
    <w:tmpl w:val="99B437D0"/>
    <w:lvl w:ilvl="0">
      <w:start w:val="1"/>
      <w:numFmt w:val="lowerLetter"/>
      <w:lvlText w:val="%1)"/>
      <w:lvlJc w:val="left"/>
      <w:pPr>
        <w:ind w:left="880" w:hanging="440"/>
      </w:pPr>
    </w:lvl>
    <w:lvl w:ilvl="1">
      <w:start w:val="1"/>
      <w:numFmt w:val="lowerLetter"/>
      <w:lvlText w:val="%2)"/>
      <w:lvlJc w:val="left"/>
      <w:pPr>
        <w:ind w:left="1320" w:hanging="440"/>
      </w:pPr>
    </w:lvl>
    <w:lvl w:ilvl="2">
      <w:start w:val="1"/>
      <w:numFmt w:val="lowerRoman"/>
      <w:lvlText w:val="%3."/>
      <w:lvlJc w:val="lef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lef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left"/>
      <w:pPr>
        <w:ind w:left="4400" w:hanging="440"/>
      </w:pPr>
    </w:lvl>
  </w:abstractNum>
  <w:abstractNum w:abstractNumId="1" w15:restartNumberingAfterBreak="0">
    <w:nsid w:val="556F5C9F"/>
    <w:multiLevelType w:val="hybridMultilevel"/>
    <w:tmpl w:val="38C2CE76"/>
    <w:lvl w:ilvl="0" w:tplc="C2A4C648">
      <w:start w:val="1"/>
      <w:numFmt w:val="lowerLetter"/>
      <w:lvlText w:val="%1)"/>
      <w:lvlJc w:val="left"/>
      <w:pPr>
        <w:ind w:left="780" w:hanging="360"/>
      </w:pPr>
      <w:rPr>
        <w:rFonts w:ascii="Arial" w:eastAsia="微软雅黑" w:hAnsi="Arial" w:cs="Arial"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A24D9F"/>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 w:val="000B62CA"/>
    <w:rsid w:val="002A53AA"/>
    <w:rsid w:val="003223E6"/>
    <w:rsid w:val="005C35DE"/>
    <w:rsid w:val="00626AA2"/>
    <w:rsid w:val="0068574D"/>
    <w:rsid w:val="006E696F"/>
    <w:rsid w:val="0071681D"/>
    <w:rsid w:val="007C7A70"/>
    <w:rsid w:val="00890FE1"/>
    <w:rsid w:val="0090731C"/>
    <w:rsid w:val="009E7FC9"/>
    <w:rsid w:val="00A85D95"/>
    <w:rsid w:val="00AB1D25"/>
    <w:rsid w:val="00AD3D80"/>
    <w:rsid w:val="00B727BA"/>
    <w:rsid w:val="00BE0D57"/>
    <w:rsid w:val="00C041D0"/>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EEFC1"/>
  <w15:docId w15:val="{10F1F450-5B08-471F-87FD-FF15395E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微软雅黑"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before="60" w:after="60"/>
      <w:jc w:val="both"/>
    </w:pPr>
    <w:rPr>
      <w:color w:val="333333"/>
      <w:kern w:val="2"/>
      <w:sz w:val="22"/>
      <w:szCs w:val="24"/>
    </w:rPr>
  </w:style>
  <w:style w:type="paragraph" w:styleId="1">
    <w:name w:val="heading 1"/>
    <w:basedOn w:val="a"/>
    <w:next w:val="a"/>
    <w:qFormat/>
    <w:pPr>
      <w:keepNext/>
      <w:keepLines/>
      <w:outlineLvl w:val="0"/>
    </w:pPr>
    <w:rPr>
      <w:b/>
      <w:kern w:val="44"/>
      <w:sz w:val="36"/>
    </w:rPr>
  </w:style>
  <w:style w:type="paragraph" w:styleId="2">
    <w:name w:val="heading 2"/>
    <w:basedOn w:val="a"/>
    <w:next w:val="a"/>
    <w:qFormat/>
    <w:pPr>
      <w:keepNext/>
      <w:keepLines/>
      <w:outlineLvl w:val="1"/>
    </w:pPr>
    <w:rPr>
      <w:b/>
      <w:sz w:val="32"/>
    </w:rPr>
  </w:style>
  <w:style w:type="paragraph" w:styleId="3">
    <w:name w:val="heading 3"/>
    <w:basedOn w:val="a"/>
    <w:next w:val="a"/>
    <w:qFormat/>
    <w:pPr>
      <w:keepNext/>
      <w:keepLines/>
      <w:outlineLvl w:val="2"/>
    </w:pPr>
    <w:rPr>
      <w:b/>
      <w:sz w:val="28"/>
    </w:rPr>
  </w:style>
  <w:style w:type="paragraph" w:styleId="4">
    <w:name w:val="heading 4"/>
    <w:basedOn w:val="a"/>
    <w:next w:val="a"/>
    <w:qFormat/>
    <w:pPr>
      <w:keepNext/>
      <w:keepLines/>
      <w:outlineLvl w:val="3"/>
    </w:pPr>
    <w:rPr>
      <w:b/>
      <w:sz w:val="24"/>
    </w:rPr>
  </w:style>
  <w:style w:type="paragraph" w:styleId="5">
    <w:name w:val="heading 5"/>
    <w:basedOn w:val="a"/>
    <w:next w:val="a"/>
    <w:qFormat/>
    <w:pPr>
      <w:keepNext/>
      <w:keepLines/>
      <w:spacing w:line="480" w:lineRule="auto"/>
      <w:outlineLvl w:val="4"/>
    </w:pPr>
    <w:rPr>
      <w:b/>
    </w:rPr>
  </w:style>
  <w:style w:type="paragraph" w:styleId="6">
    <w:name w:val="heading 6"/>
    <w:basedOn w:val="a"/>
    <w:next w:val="a"/>
    <w:qFormat/>
    <w:pPr>
      <w:keepNext/>
      <w:keepLines/>
      <w:spacing w:line="480" w:lineRule="auto"/>
      <w:outlineLvl w:val="5"/>
    </w:pPr>
    <w:rPr>
      <w:b/>
    </w:rPr>
  </w:style>
  <w:style w:type="paragraph" w:styleId="7">
    <w:name w:val="heading 7"/>
    <w:basedOn w:val="a"/>
    <w:next w:val="a"/>
    <w:unhideWhenUsed/>
    <w:qFormat/>
    <w:pPr>
      <w:keepNext/>
      <w:keepLines/>
      <w:spacing w:line="480" w:lineRule="auto"/>
      <w:outlineLvl w:val="6"/>
    </w:pPr>
    <w:rPr>
      <w:b/>
    </w:rPr>
  </w:style>
  <w:style w:type="paragraph" w:styleId="8">
    <w:name w:val="heading 8"/>
    <w:basedOn w:val="a"/>
    <w:next w:val="a"/>
    <w:unhideWhenUsed/>
    <w:qFormat/>
    <w:pPr>
      <w:keepNext/>
      <w:keepLines/>
      <w:spacing w:line="480" w:lineRule="auto"/>
      <w:outlineLvl w:val="7"/>
    </w:pPr>
    <w:rPr>
      <w:b/>
    </w:rPr>
  </w:style>
  <w:style w:type="paragraph" w:styleId="9">
    <w:name w:val="heading 9"/>
    <w:basedOn w:val="a"/>
    <w:next w:val="a"/>
    <w:unhideWhenUsed/>
    <w:qFormat/>
    <w:pPr>
      <w:keepNext/>
      <w:keepLines/>
      <w:spacing w:line="480" w:lineRule="auto"/>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pPr>
      <w:jc w:val="center"/>
      <w:outlineLvl w:val="1"/>
    </w:pPr>
    <w:rPr>
      <w:rFonts w:cstheme="minorBidi"/>
      <w:b/>
      <w:bCs/>
      <w:kern w:val="28"/>
      <w:sz w:val="44"/>
      <w:szCs w:val="32"/>
    </w:rPr>
  </w:style>
  <w:style w:type="character" w:customStyle="1" w:styleId="melo-codeblock-Base-theme-char">
    <w:name w:val="melo-codeblock-Base-theme-char"/>
    <w:uiPriority w:val="99"/>
    <w:rPr>
      <w:rFonts w:ascii="Monaco" w:eastAsia="Monaco" w:hAnsi="Monaco" w:cs="Monaco"/>
      <w:color w:val="000000"/>
      <w:sz w:val="21"/>
    </w:rPr>
  </w:style>
  <w:style w:type="character" w:styleId="a5">
    <w:name w:val="Hyperlink"/>
    <w:basedOn w:val="a0"/>
    <w:rPr>
      <w:color w:val="1E6FFF"/>
      <w:u w:val="single"/>
    </w:rPr>
  </w:style>
  <w:style w:type="paragraph" w:styleId="a6">
    <w:name w:val="footer"/>
    <w:basedOn w:val="a"/>
    <w:pPr>
      <w:tabs>
        <w:tab w:val="center" w:pos="4153"/>
        <w:tab w:val="right" w:pos="8306"/>
      </w:tabs>
      <w:snapToGrid w:val="0"/>
      <w:jc w:val="center"/>
    </w:pPr>
    <w:rPr>
      <w:sz w:val="18"/>
      <w:szCs w:val="18"/>
    </w:rPr>
  </w:style>
  <w:style w:type="character" w:customStyle="1" w:styleId="a7">
    <w:name w:val="标题 字符"/>
    <w:basedOn w:val="a0"/>
    <w:link w:val="a8"/>
    <w:rPr>
      <w:rFonts w:ascii="Arial" w:eastAsia="微软雅黑" w:hAnsi="Arial" w:cstheme="majorBidi"/>
      <w:b/>
      <w:bCs/>
      <w:kern w:val="2"/>
      <w:sz w:val="48"/>
      <w:szCs w:val="32"/>
    </w:rPr>
  </w:style>
  <w:style w:type="paragraph" w:styleId="a8">
    <w:name w:val="Title"/>
    <w:basedOn w:val="a"/>
    <w:next w:val="a"/>
    <w:link w:val="a7"/>
    <w:qFormat/>
    <w:pPr>
      <w:jc w:val="center"/>
      <w:outlineLvl w:val="0"/>
    </w:pPr>
    <w:rPr>
      <w:rFonts w:cstheme="majorBidi"/>
      <w:b/>
      <w:bCs/>
      <w:sz w:val="48"/>
      <w:szCs w:val="32"/>
    </w:rPr>
  </w:style>
  <w:style w:type="paragraph" w:customStyle="1" w:styleId="melo-codeblock-Base-theme-para">
    <w:name w:val="melo-codeblock-Base-theme-para"/>
    <w:uiPriority w:val="99"/>
    <w:pPr>
      <w:snapToGrid w:val="0"/>
      <w:spacing w:line="360" w:lineRule="auto"/>
    </w:pPr>
    <w:rPr>
      <w:rFonts w:ascii="Monaco" w:eastAsia="Monaco" w:hAnsi="Monaco" w:cs="Monaco"/>
      <w:color w:val="000000"/>
      <w:sz w:val="21"/>
    </w:rPr>
  </w:style>
  <w:style w:type="table" w:styleId="a9">
    <w:name w:val="Table Grid"/>
    <w:basedOn w:val="a1"/>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character" w:customStyle="1" w:styleId="a4">
    <w:name w:val="副标题 字符"/>
    <w:basedOn w:val="a0"/>
    <w:link w:val="a3"/>
    <w:rPr>
      <w:rFonts w:ascii="Arial" w:eastAsia="微软雅黑" w:hAnsi="Arial" w:cstheme="minorBidi"/>
      <w:b/>
      <w:bCs/>
      <w:kern w:val="28"/>
      <w:sz w:val="44"/>
      <w:szCs w:val="32"/>
    </w:rPr>
  </w:style>
  <w:style w:type="paragraph" w:styleId="TOC8">
    <w:name w:val="toc 8"/>
    <w:basedOn w:val="a"/>
    <w:next w:val="a"/>
    <w:autoRedefine/>
    <w:uiPriority w:val="99"/>
    <w:pPr>
      <w:ind w:leftChars="1400" w:left="2940"/>
    </w:pPr>
  </w:style>
  <w:style w:type="paragraph" w:styleId="ab">
    <w:name w:val="List Paragraph"/>
    <w:basedOn w:val="a"/>
    <w:uiPriority w:val="99"/>
    <w:rsid w:val="003223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zhuhonghui</cp:lastModifiedBy>
  <cp:revision>2</cp:revision>
  <dcterms:created xsi:type="dcterms:W3CDTF">2024-11-01T08:56:00Z</dcterms:created>
  <dcterms:modified xsi:type="dcterms:W3CDTF">2024-11-01T00:57:00Z</dcterms:modified>
</cp:coreProperties>
</file>