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41562">
      <w:pPr>
        <w:spacing w:before="120" w:after="120" w:line="288" w:lineRule="auto"/>
        <w:ind w:firstLine="0" w:firstLineChars="0"/>
        <w:jc w:val="center"/>
        <w:rPr>
          <w:rFonts w:ascii="宋体" w:hAnsi="宋体" w:eastAsia="宋体" w:cs="Arial"/>
          <w:b/>
          <w:color w:val="1F2329"/>
          <w:sz w:val="24"/>
          <w:szCs w:val="24"/>
        </w:rPr>
      </w:pPr>
      <w:r>
        <mc:AlternateContent>
          <mc:Choice Requires="wps">
            <w:drawing>
              <wp:anchor distT="0" distB="0" distL="114300" distR="114300" simplePos="0" relativeHeight="251659264" behindDoc="0" locked="0" layoutInCell="1" allowOverlap="1">
                <wp:simplePos x="0" y="0"/>
                <wp:positionH relativeFrom="page">
                  <wp:posOffset>75565</wp:posOffset>
                </wp:positionH>
                <wp:positionV relativeFrom="page">
                  <wp:posOffset>106680</wp:posOffset>
                </wp:positionV>
                <wp:extent cx="6803390" cy="368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03390" cy="368300"/>
                        </a:xfrm>
                        <a:prstGeom prst="rect">
                          <a:avLst/>
                        </a:prstGeom>
                        <a:noFill/>
                        <a:ln>
                          <a:noFill/>
                        </a:ln>
                      </wps:spPr>
                      <wps:txbx>
                        <w:txbxContent>
                          <w:p w14:paraId="706F0EFC">
                            <w:pPr>
                              <w:spacing w:before="120" w:beforeLines="50" w:line="200" w:lineRule="exact"/>
                              <w:jc w:val="left"/>
                              <w:rPr>
                                <w:rFonts w:ascii="微软雅黑" w:hAnsi="微软雅黑" w:eastAsia="微软雅黑" w:cs="微软雅黑"/>
                                <w:color w:val="000000"/>
                                <w:sz w:val="18"/>
                                <w:szCs w:val="18"/>
                                <w14:textFill>
                                  <w14:solidFill>
                                    <w14:srgbClr w14:val="000000">
                                      <w14:alpha w14:val="0"/>
                                    </w14:srgbClr>
                                  </w14:solidFill>
                                </w14:textFill>
                              </w:rPr>
                            </w:pPr>
                          </w:p>
                        </w:txbxContent>
                      </wps:txbx>
                      <wps:bodyPr upright="1"/>
                    </wps:wsp>
                  </a:graphicData>
                </a:graphic>
                <wp14:sizeRelH relativeFrom="page">
                  <wp14:pctWidth>90000</wp14:pctWidth>
                </wp14:sizeRelH>
                <wp14:sizeRelV relativeFrom="page">
                  <wp14:pctHeight>0</wp14:pctHeight>
                </wp14:sizeRelV>
              </wp:anchor>
            </w:drawing>
          </mc:Choice>
          <mc:Fallback>
            <w:pict>
              <v:shape id="_x0000_s1026" o:spid="_x0000_s1026" o:spt="202" type="#_x0000_t202" style="position:absolute;left:0pt;margin-left:5.95pt;margin-top:8.4pt;height:29pt;width:535.7pt;mso-position-horizontal-relative:page;mso-position-vertical-relative:page;z-index:251659264;mso-width-relative:page;mso-height-relative:page;mso-width-percent:900;" filled="f" stroked="f" coordsize="21600,21600" o:gfxdata="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VJmcE2AAA&#10;AAkBAAAPAAAAAAAAAAEAIAAAACIAAABkcnMvZG93bnJldi54bWxQSwECFAAUAAAACACHTuJAlNUb&#10;a6wBAABOAwAADgAAAAAAAAABACAAAAAnAQAAZHJzL2Uyb0RvYy54bWxQSwUGAAAAAAYABgBZAQAA&#10;RQUAAAAA&#10;">
                <v:fill on="f" focussize="0,0"/>
                <v:stroke on="f"/>
                <v:imagedata o:title=""/>
                <o:lock v:ext="edit" aspectratio="f"/>
                <v:textbox>
                  <w:txbxContent>
                    <w:p w14:paraId="706F0EFC">
                      <w:pPr>
                        <w:spacing w:before="120" w:beforeLines="50" w:line="200" w:lineRule="exact"/>
                        <w:jc w:val="left"/>
                        <w:rPr>
                          <w:rFonts w:ascii="微软雅黑" w:hAnsi="微软雅黑" w:eastAsia="微软雅黑" w:cs="微软雅黑"/>
                          <w:color w:val="000000"/>
                          <w:sz w:val="18"/>
                          <w:szCs w:val="18"/>
                          <w14:textFill>
                            <w14:solidFill>
                              <w14:srgbClr w14:val="000000">
                                <w14:alpha w14:val="0"/>
                              </w14:srgbClr>
                            </w14:solidFill>
                          </w14:textFill>
                        </w:rPr>
                      </w:pPr>
                    </w:p>
                  </w:txbxContent>
                </v:textbox>
              </v:shape>
            </w:pict>
          </mc:Fallback>
        </mc:AlternateContent>
      </w:r>
      <w:r>
        <w:rPr>
          <w:rFonts w:hint="eastAsia" w:ascii="宋体" w:hAnsi="宋体" w:eastAsia="宋体" w:cs="Arial"/>
          <w:b/>
          <w:color w:val="1F2329"/>
          <w:sz w:val="24"/>
          <w:szCs w:val="24"/>
        </w:rPr>
        <w:t>整车物流水路</w:t>
      </w:r>
      <w:r>
        <w:rPr>
          <w:rFonts w:ascii="宋体" w:hAnsi="宋体" w:eastAsia="宋体" w:cs="Arial"/>
          <w:b/>
          <w:color w:val="1F2329"/>
          <w:sz w:val="24"/>
          <w:szCs w:val="24"/>
        </w:rPr>
        <w:t>运输服务协议</w:t>
      </w:r>
    </w:p>
    <w:p w14:paraId="34492393">
      <w:pPr>
        <w:spacing w:before="120" w:after="120" w:line="288" w:lineRule="auto"/>
        <w:jc w:val="left"/>
        <w:rPr>
          <w:rFonts w:ascii="宋体" w:hAnsi="宋体" w:eastAsia="宋体"/>
          <w:szCs w:val="21"/>
        </w:rPr>
      </w:pPr>
    </w:p>
    <w:p w14:paraId="4C5D7150">
      <w:pPr>
        <w:spacing w:before="120" w:after="120" w:line="288" w:lineRule="auto"/>
        <w:jc w:val="left"/>
        <w:rPr>
          <w:rFonts w:ascii="宋体" w:hAnsi="宋体" w:eastAsia="宋体" w:cs="Arial"/>
          <w:color w:val="1F2329"/>
          <w:szCs w:val="21"/>
        </w:rPr>
      </w:pPr>
      <w:r>
        <w:rPr>
          <w:rFonts w:ascii="宋体" w:hAnsi="宋体" w:eastAsia="宋体" w:cs="Arial"/>
          <w:color w:val="1F2329"/>
          <w:szCs w:val="21"/>
        </w:rPr>
        <w:t>本</w:t>
      </w:r>
      <w:r>
        <w:rPr>
          <w:rFonts w:hint="eastAsia" w:ascii="宋体" w:hAnsi="宋体" w:eastAsia="宋体" w:cs="Arial"/>
          <w:color w:val="1F2329"/>
          <w:szCs w:val="21"/>
        </w:rPr>
        <w:t>整车</w:t>
      </w:r>
      <w:r>
        <w:rPr>
          <w:rFonts w:ascii="宋体" w:hAnsi="宋体" w:eastAsia="宋体" w:cs="Arial"/>
          <w:color w:val="1F2329"/>
          <w:szCs w:val="21"/>
        </w:rPr>
        <w:t>运输服务协议（以下称“本协议”）由以下双方签订：</w:t>
      </w:r>
    </w:p>
    <w:p w14:paraId="52BC41AD">
      <w:pPr>
        <w:spacing w:before="120" w:after="120" w:line="288" w:lineRule="auto"/>
        <w:jc w:val="left"/>
        <w:rPr>
          <w:rFonts w:ascii="宋体" w:hAnsi="宋体" w:eastAsia="宋体"/>
          <w:szCs w:val="21"/>
        </w:rPr>
      </w:pPr>
    </w:p>
    <w:p w14:paraId="47109BB5">
      <w:pPr>
        <w:spacing w:before="120" w:after="120" w:line="288" w:lineRule="auto"/>
        <w:jc w:val="left"/>
        <w:rPr>
          <w:rFonts w:hint="eastAsia" w:ascii="宋体" w:hAnsi="宋体" w:eastAsia="宋体" w:cs="Arial"/>
          <w:color w:val="1F2329"/>
          <w:szCs w:val="21"/>
        </w:rPr>
      </w:pPr>
      <w:r>
        <w:rPr>
          <w:rFonts w:hint="eastAsia" w:ascii="宋体" w:hAnsi="宋体" w:eastAsia="宋体" w:cs="Arial"/>
          <w:color w:val="1F2329"/>
          <w:szCs w:val="21"/>
        </w:rPr>
        <w:t>甲方</w:t>
      </w:r>
      <w:r>
        <w:rPr>
          <w:rFonts w:ascii="宋体" w:hAnsi="宋体" w:eastAsia="宋体" w:cs="Arial"/>
          <w:color w:val="1F2329"/>
          <w:szCs w:val="21"/>
        </w:rPr>
        <w:t>：</w:t>
      </w:r>
      <w:r>
        <w:rPr>
          <w:rFonts w:hint="eastAsia" w:ascii="宋体" w:hAnsi="宋体" w:eastAsia="宋体" w:cs="Arial"/>
          <w:color w:val="1F2329"/>
          <w:szCs w:val="21"/>
        </w:rPr>
        <w:t>【安吉远海滚装运输（上海）有限公司】</w:t>
      </w:r>
    </w:p>
    <w:p w14:paraId="1B5538A3">
      <w:pPr>
        <w:spacing w:before="120" w:after="120" w:line="288" w:lineRule="auto"/>
        <w:jc w:val="left"/>
        <w:rPr>
          <w:rFonts w:hint="eastAsia" w:ascii="宋体" w:hAnsi="宋体" w:eastAsia="宋体" w:cs="Arial"/>
          <w:color w:val="1F2329"/>
          <w:szCs w:val="21"/>
        </w:rPr>
      </w:pPr>
      <w:r>
        <w:rPr>
          <w:rFonts w:ascii="宋体" w:hAnsi="宋体" w:eastAsia="宋体" w:cs="Arial"/>
          <w:color w:val="1F2329"/>
          <w:szCs w:val="21"/>
        </w:rPr>
        <w:t>注册地址为：</w:t>
      </w:r>
      <w:r>
        <w:rPr>
          <w:rFonts w:hint="eastAsia" w:ascii="宋体" w:hAnsi="宋体" w:eastAsia="宋体" w:cs="Arial"/>
          <w:color w:val="1F2329"/>
          <w:szCs w:val="21"/>
        </w:rPr>
        <w:t>【中国（上海）自由贸易试验区临港新片区顺通路5号B座219-1室】</w:t>
      </w:r>
    </w:p>
    <w:p w14:paraId="317A5250">
      <w:pPr>
        <w:spacing w:before="120" w:after="120" w:line="288" w:lineRule="auto"/>
        <w:jc w:val="left"/>
        <w:rPr>
          <w:rFonts w:ascii="宋体" w:hAnsi="宋体" w:eastAsia="宋体" w:cs="Arial"/>
          <w:color w:val="1F2329"/>
          <w:szCs w:val="21"/>
        </w:rPr>
      </w:pPr>
      <w:r>
        <w:rPr>
          <w:rFonts w:hint="eastAsia" w:ascii="宋体" w:hAnsi="宋体" w:eastAsia="宋体" w:cs="Arial"/>
          <w:color w:val="1F2329"/>
          <w:szCs w:val="21"/>
        </w:rPr>
        <w:t>乙方</w:t>
      </w:r>
      <w:r>
        <w:rPr>
          <w:rFonts w:ascii="宋体" w:hAnsi="宋体" w:eastAsia="宋体" w:cs="Arial"/>
          <w:color w:val="1F2329"/>
          <w:szCs w:val="21"/>
        </w:rPr>
        <w:t>：</w:t>
      </w:r>
      <w:r>
        <w:rPr>
          <w:rFonts w:hint="eastAsia" w:ascii="宋体" w:hAnsi="宋体" w:eastAsia="宋体" w:cs="Arial"/>
          <w:color w:val="1F2329"/>
          <w:szCs w:val="21"/>
        </w:rPr>
        <w:t>【</w:t>
      </w:r>
      <w:r>
        <w:rPr>
          <w:rFonts w:hint="eastAsia" w:ascii="宋体" w:hAnsi="宋体" w:eastAsia="宋体" w:cs="Arial"/>
          <w:color w:val="1F2329"/>
          <w:szCs w:val="21"/>
          <w:lang w:val="en-US" w:eastAsia="zh-CN"/>
        </w:rPr>
        <w:t xml:space="preserve"> </w:t>
      </w:r>
      <w:r>
        <w:rPr>
          <w:rFonts w:hint="eastAsia" w:ascii="宋体" w:hAnsi="宋体" w:eastAsia="宋体" w:cs="Arial"/>
          <w:color w:val="1F2329"/>
          <w:szCs w:val="21"/>
        </w:rPr>
        <w:t>】</w:t>
      </w:r>
      <w:r>
        <w:rPr>
          <w:rFonts w:ascii="宋体" w:hAnsi="宋体" w:eastAsia="宋体" w:cs="Arial"/>
          <w:color w:val="1F2329"/>
          <w:szCs w:val="21"/>
        </w:rPr>
        <w:t xml:space="preserve"> </w:t>
      </w:r>
    </w:p>
    <w:p w14:paraId="5C8B011A">
      <w:pPr>
        <w:spacing w:before="120" w:after="120" w:line="288" w:lineRule="auto"/>
        <w:jc w:val="left"/>
        <w:rPr>
          <w:rFonts w:ascii="宋体" w:hAnsi="宋体" w:eastAsia="宋体"/>
          <w:szCs w:val="21"/>
        </w:rPr>
      </w:pPr>
      <w:r>
        <w:rPr>
          <w:rFonts w:ascii="宋体" w:hAnsi="宋体" w:eastAsia="宋体" w:cs="Arial"/>
          <w:color w:val="1F2329"/>
          <w:szCs w:val="21"/>
        </w:rPr>
        <w:t>注册地址为：</w:t>
      </w:r>
      <w:r>
        <w:rPr>
          <w:rFonts w:hint="eastAsia" w:ascii="宋体" w:hAnsi="宋体" w:eastAsia="宋体" w:cs="Arial"/>
          <w:color w:val="1F2329"/>
          <w:szCs w:val="21"/>
        </w:rPr>
        <w:t>【</w:t>
      </w:r>
      <w:r>
        <w:rPr>
          <w:rFonts w:hint="eastAsia" w:ascii="宋体" w:hAnsi="宋体" w:eastAsia="宋体" w:cs="Arial"/>
          <w:color w:val="1F2329"/>
          <w:szCs w:val="21"/>
          <w:lang w:val="en-US" w:eastAsia="zh-CN"/>
        </w:rPr>
        <w:t xml:space="preserve"> </w:t>
      </w:r>
      <w:r>
        <w:rPr>
          <w:rFonts w:hint="eastAsia" w:ascii="宋体" w:hAnsi="宋体" w:eastAsia="宋体" w:cs="Arial"/>
          <w:color w:val="1F2329"/>
          <w:szCs w:val="21"/>
        </w:rPr>
        <w:t>】</w:t>
      </w:r>
    </w:p>
    <w:p w14:paraId="7340116F">
      <w:pPr>
        <w:spacing w:before="120" w:after="120" w:line="288" w:lineRule="auto"/>
        <w:jc w:val="left"/>
        <w:rPr>
          <w:rFonts w:ascii="宋体" w:hAnsi="宋体" w:eastAsia="宋体"/>
          <w:szCs w:val="21"/>
        </w:rPr>
      </w:pPr>
    </w:p>
    <w:p w14:paraId="4D830544">
      <w:pPr>
        <w:spacing w:before="120" w:after="120" w:line="288" w:lineRule="auto"/>
        <w:jc w:val="left"/>
        <w:rPr>
          <w:rFonts w:ascii="宋体" w:hAnsi="宋体" w:eastAsia="宋体"/>
          <w:szCs w:val="21"/>
        </w:rPr>
      </w:pPr>
      <w:r>
        <w:rPr>
          <w:rFonts w:ascii="宋体" w:hAnsi="宋体" w:eastAsia="宋体" w:cs="Arial"/>
          <w:color w:val="1F2329"/>
          <w:szCs w:val="21"/>
        </w:rPr>
        <w:t>下文中，</w:t>
      </w:r>
      <w:r>
        <w:rPr>
          <w:rFonts w:hint="eastAsia" w:ascii="宋体" w:hAnsi="宋体" w:eastAsia="宋体" w:cs="Arial"/>
          <w:color w:val="1F2329"/>
          <w:szCs w:val="21"/>
        </w:rPr>
        <w:t>甲方</w:t>
      </w:r>
      <w:r>
        <w:rPr>
          <w:rFonts w:ascii="宋体" w:hAnsi="宋体" w:eastAsia="宋体" w:cs="Arial"/>
          <w:color w:val="1F2329"/>
          <w:szCs w:val="21"/>
        </w:rPr>
        <w:t>和</w:t>
      </w:r>
      <w:r>
        <w:rPr>
          <w:rFonts w:hint="eastAsia" w:ascii="宋体" w:hAnsi="宋体" w:eastAsia="宋体" w:cs="Arial"/>
          <w:color w:val="1F2329"/>
          <w:szCs w:val="21"/>
        </w:rPr>
        <w:t>乙方</w:t>
      </w:r>
      <w:r>
        <w:rPr>
          <w:rFonts w:ascii="宋体" w:hAnsi="宋体" w:eastAsia="宋体" w:cs="Arial"/>
          <w:color w:val="1F2329"/>
          <w:szCs w:val="21"/>
        </w:rPr>
        <w:t>每一方称为“一方”，合称为“双方”。</w:t>
      </w:r>
    </w:p>
    <w:p w14:paraId="587409D0">
      <w:pPr>
        <w:spacing w:before="120" w:after="120" w:line="288" w:lineRule="auto"/>
        <w:jc w:val="left"/>
        <w:rPr>
          <w:rFonts w:ascii="宋体" w:hAnsi="宋体" w:eastAsia="宋体"/>
          <w:szCs w:val="21"/>
        </w:rPr>
      </w:pPr>
    </w:p>
    <w:p w14:paraId="50969E8A">
      <w:pPr>
        <w:spacing w:before="120" w:after="120" w:line="288" w:lineRule="auto"/>
        <w:jc w:val="left"/>
        <w:rPr>
          <w:rFonts w:ascii="宋体" w:hAnsi="宋体" w:eastAsia="宋体"/>
          <w:b/>
          <w:szCs w:val="21"/>
        </w:rPr>
      </w:pPr>
      <w:r>
        <w:rPr>
          <w:rFonts w:hint="eastAsia" w:ascii="宋体" w:hAnsi="宋体" w:eastAsia="宋体"/>
          <w:b/>
          <w:szCs w:val="21"/>
        </w:rPr>
        <w:t>鉴于</w:t>
      </w:r>
    </w:p>
    <w:p w14:paraId="155F7557">
      <w:pPr>
        <w:pStyle w:val="4"/>
        <w:numPr>
          <w:ilvl w:val="-1"/>
          <w:numId w:val="0"/>
        </w:numPr>
        <w:spacing w:before="120" w:after="120" w:line="288" w:lineRule="auto"/>
        <w:ind w:left="0" w:firstLine="0" w:firstLineChars="0"/>
        <w:jc w:val="left"/>
        <w:rPr>
          <w:rFonts w:ascii="宋体" w:hAnsi="宋体" w:eastAsia="宋体" w:cs="Arial"/>
          <w:color w:val="1F2329"/>
          <w:szCs w:val="21"/>
        </w:rPr>
      </w:pPr>
      <w:r>
        <w:rPr>
          <w:rFonts w:hint="eastAsia" w:ascii="宋体" w:hAnsi="宋体" w:eastAsia="宋体" w:cs="Arial"/>
          <w:color w:val="1F2329"/>
          <w:szCs w:val="21"/>
        </w:rPr>
        <w:t>乙方</w:t>
      </w:r>
      <w:r>
        <w:rPr>
          <w:rFonts w:ascii="宋体" w:hAnsi="宋体" w:eastAsia="宋体" w:cs="Arial"/>
          <w:color w:val="1F2329"/>
          <w:szCs w:val="21"/>
        </w:rPr>
        <w:t>拥有向</w:t>
      </w:r>
      <w:r>
        <w:rPr>
          <w:rFonts w:hint="eastAsia" w:ascii="宋体" w:hAnsi="宋体" w:eastAsia="宋体" w:cs="Arial"/>
          <w:color w:val="1F2329"/>
          <w:szCs w:val="21"/>
        </w:rPr>
        <w:t>甲方</w:t>
      </w:r>
      <w:r>
        <w:rPr>
          <w:rFonts w:ascii="宋体" w:hAnsi="宋体" w:eastAsia="宋体" w:cs="Arial"/>
          <w:color w:val="1F2329"/>
          <w:szCs w:val="21"/>
        </w:rPr>
        <w:t>提供其所需货物运输服务的资质以及适当的运输工具、知识和能力。</w:t>
      </w:r>
      <w:r>
        <w:rPr>
          <w:rFonts w:hint="eastAsia" w:ascii="宋体" w:hAnsi="宋体" w:eastAsia="宋体" w:cs="Arial"/>
          <w:color w:val="1F2329"/>
          <w:szCs w:val="21"/>
        </w:rPr>
        <w:t>同时，</w:t>
      </w:r>
      <w:r>
        <w:rPr>
          <w:rFonts w:ascii="宋体" w:hAnsi="宋体" w:eastAsia="宋体" w:cs="Arial"/>
          <w:color w:val="1F2329"/>
          <w:szCs w:val="21"/>
        </w:rPr>
        <w:t>乙方愿意根据本协议所载条款和条件为甲方车辆（定义见下文）提供车辆物流</w:t>
      </w:r>
      <w:r>
        <w:rPr>
          <w:rFonts w:hint="eastAsia" w:ascii="宋体" w:hAnsi="宋体" w:eastAsia="宋体" w:cs="Arial"/>
          <w:color w:val="1F2329"/>
          <w:szCs w:val="21"/>
        </w:rPr>
        <w:t>运输服务</w:t>
      </w:r>
      <w:r>
        <w:rPr>
          <w:rFonts w:ascii="宋体" w:hAnsi="宋体" w:eastAsia="宋体" w:cs="Arial"/>
          <w:color w:val="1F2329"/>
          <w:szCs w:val="21"/>
        </w:rPr>
        <w:t>（定义见下文）</w:t>
      </w:r>
      <w:r>
        <w:rPr>
          <w:rFonts w:hint="eastAsia" w:ascii="宋体" w:hAnsi="宋体" w:eastAsia="宋体" w:cs="Arial"/>
          <w:color w:val="1F2329"/>
          <w:szCs w:val="21"/>
        </w:rPr>
        <w:t>。</w:t>
      </w:r>
    </w:p>
    <w:p w14:paraId="41FD01BD">
      <w:pPr>
        <w:spacing w:before="120" w:after="120" w:line="288" w:lineRule="auto"/>
        <w:jc w:val="left"/>
        <w:rPr>
          <w:rFonts w:ascii="宋体" w:hAnsi="宋体" w:eastAsia="宋体"/>
          <w:szCs w:val="21"/>
        </w:rPr>
      </w:pPr>
    </w:p>
    <w:p w14:paraId="7D5C7122">
      <w:pPr>
        <w:spacing w:before="120" w:after="120" w:line="288" w:lineRule="auto"/>
        <w:jc w:val="left"/>
        <w:rPr>
          <w:rFonts w:ascii="宋体" w:hAnsi="宋体" w:eastAsia="宋体"/>
          <w:szCs w:val="21"/>
        </w:rPr>
      </w:pPr>
      <w:r>
        <w:rPr>
          <w:rFonts w:ascii="宋体" w:hAnsi="宋体" w:eastAsia="宋体" w:cs="Arial"/>
          <w:color w:val="1F2329"/>
          <w:szCs w:val="21"/>
        </w:rPr>
        <w:t>因此，本协议双方现约定如下：</w:t>
      </w:r>
      <w:r>
        <w:rPr>
          <w:rFonts w:hint="eastAsia" w:ascii="宋体" w:hAnsi="宋体" w:eastAsia="宋体" w:cs="Arial"/>
          <w:color w:val="1F2329"/>
          <w:szCs w:val="21"/>
        </w:rPr>
        <w:t xml:space="preserve"> </w:t>
      </w:r>
    </w:p>
    <w:p w14:paraId="166E8472">
      <w:pPr>
        <w:spacing w:before="120" w:after="120" w:line="288" w:lineRule="auto"/>
        <w:jc w:val="left"/>
        <w:rPr>
          <w:rFonts w:ascii="宋体" w:hAnsi="宋体" w:eastAsia="宋体"/>
          <w:szCs w:val="21"/>
        </w:rPr>
      </w:pPr>
    </w:p>
    <w:p w14:paraId="44099FF2">
      <w:pPr>
        <w:pStyle w:val="4"/>
        <w:numPr>
          <w:ilvl w:val="0"/>
          <w:numId w:val="1"/>
        </w:numPr>
        <w:spacing w:before="120" w:after="120" w:line="288" w:lineRule="auto"/>
        <w:ind w:firstLineChars="0"/>
        <w:jc w:val="left"/>
        <w:rPr>
          <w:rFonts w:ascii="宋体" w:hAnsi="宋体" w:eastAsia="宋体" w:cs="Arial"/>
          <w:b/>
          <w:color w:val="1F2329"/>
          <w:szCs w:val="21"/>
        </w:rPr>
      </w:pPr>
      <w:r>
        <w:rPr>
          <w:rFonts w:ascii="宋体" w:hAnsi="宋体" w:eastAsia="宋体" w:cs="Arial"/>
          <w:b/>
          <w:color w:val="1F2329"/>
          <w:szCs w:val="21"/>
        </w:rPr>
        <w:t>定义</w:t>
      </w:r>
    </w:p>
    <w:p w14:paraId="149CFBA3">
      <w:pPr>
        <w:spacing w:before="120" w:after="120" w:line="288" w:lineRule="auto"/>
        <w:jc w:val="left"/>
        <w:rPr>
          <w:rFonts w:ascii="宋体" w:hAnsi="宋体" w:eastAsia="宋体" w:cs="Arial"/>
          <w:b/>
          <w:color w:val="1F2329"/>
          <w:szCs w:val="21"/>
        </w:rPr>
      </w:pPr>
      <w:r>
        <w:rPr>
          <w:rFonts w:ascii="宋体" w:hAnsi="宋体" w:eastAsia="宋体" w:cs="Arial"/>
          <w:color w:val="1F2329"/>
          <w:szCs w:val="21"/>
        </w:rPr>
        <w:t>就本协议所有目的而言，除非上下文另有所指并且附件中存在不同规定，以下术语具有本协议规定的含义。定义同等适用于单数和复数形式。</w:t>
      </w:r>
    </w:p>
    <w:p w14:paraId="4A15D658">
      <w:pPr>
        <w:pStyle w:val="4"/>
        <w:numPr>
          <w:ilvl w:val="1"/>
          <w:numId w:val="2"/>
        </w:numPr>
        <w:spacing w:before="120" w:after="120" w:line="288" w:lineRule="auto"/>
        <w:ind w:firstLineChars="0"/>
        <w:jc w:val="left"/>
        <w:rPr>
          <w:rFonts w:ascii="宋体" w:hAnsi="宋体" w:eastAsia="宋体"/>
          <w:szCs w:val="21"/>
        </w:rPr>
      </w:pPr>
      <w:r>
        <w:rPr>
          <w:rFonts w:ascii="宋体" w:hAnsi="宋体" w:eastAsia="宋体" w:cs="Arial"/>
          <w:color w:val="1F2329"/>
          <w:szCs w:val="21"/>
        </w:rPr>
        <w:t xml:space="preserve">“车辆”是指甲方拥有的将要发送至指定地点的车辆，包括但不限于附件技术要求文件中规定的车辆。 </w:t>
      </w:r>
    </w:p>
    <w:p w14:paraId="0BE6658E">
      <w:pPr>
        <w:pStyle w:val="4"/>
        <w:numPr>
          <w:ilvl w:val="1"/>
          <w:numId w:val="2"/>
        </w:numPr>
        <w:spacing w:before="120" w:after="120" w:line="288" w:lineRule="auto"/>
        <w:ind w:firstLineChars="0"/>
        <w:jc w:val="left"/>
        <w:rPr>
          <w:rFonts w:ascii="宋体" w:hAnsi="宋体" w:eastAsia="宋体"/>
          <w:szCs w:val="21"/>
        </w:rPr>
      </w:pPr>
      <w:r>
        <w:rPr>
          <w:rFonts w:ascii="宋体" w:hAnsi="宋体" w:eastAsia="宋体" w:cs="Arial"/>
          <w:color w:val="1F2329"/>
          <w:szCs w:val="21"/>
        </w:rPr>
        <w:t xml:space="preserve"> “运输服务”指</w:t>
      </w:r>
      <w:r>
        <w:rPr>
          <w:rFonts w:hint="eastAsia" w:ascii="宋体" w:hAnsi="宋体" w:eastAsia="宋体" w:cs="Arial"/>
          <w:color w:val="1F2329"/>
          <w:szCs w:val="21"/>
        </w:rPr>
        <w:t>乙方</w:t>
      </w:r>
      <w:r>
        <w:rPr>
          <w:rFonts w:ascii="宋体" w:hAnsi="宋体" w:eastAsia="宋体" w:cs="Arial"/>
          <w:color w:val="1F2329"/>
          <w:szCs w:val="21"/>
        </w:rPr>
        <w:t>承担的有关货物运输的全部或任何部分；</w:t>
      </w:r>
    </w:p>
    <w:p w14:paraId="77E0CB9E">
      <w:pPr>
        <w:pStyle w:val="4"/>
        <w:numPr>
          <w:ilvl w:val="1"/>
          <w:numId w:val="2"/>
        </w:numPr>
        <w:spacing w:before="120" w:after="120" w:line="288" w:lineRule="auto"/>
        <w:ind w:firstLineChars="0"/>
        <w:jc w:val="left"/>
        <w:rPr>
          <w:rFonts w:ascii="宋体" w:hAnsi="宋体" w:eastAsia="宋体"/>
          <w:szCs w:val="21"/>
        </w:rPr>
      </w:pPr>
      <w:r>
        <w:rPr>
          <w:rFonts w:ascii="宋体" w:hAnsi="宋体" w:eastAsia="宋体" w:cs="Arial"/>
          <w:color w:val="1F2329"/>
          <w:szCs w:val="21"/>
        </w:rPr>
        <w:t>“约定服务”是指甲方和乙方约定的并在本协议附件中规定的</w:t>
      </w:r>
      <w:r>
        <w:rPr>
          <w:rFonts w:hint="eastAsia" w:ascii="宋体" w:hAnsi="宋体" w:eastAsia="宋体" w:cs="Arial"/>
          <w:color w:val="1F2329"/>
          <w:szCs w:val="21"/>
        </w:rPr>
        <w:t>物流运输</w:t>
      </w:r>
      <w:r>
        <w:rPr>
          <w:rFonts w:ascii="宋体" w:hAnsi="宋体" w:eastAsia="宋体" w:cs="Arial"/>
          <w:color w:val="1F2329"/>
          <w:szCs w:val="21"/>
        </w:rPr>
        <w:t>等服务。</w:t>
      </w:r>
    </w:p>
    <w:p w14:paraId="3DE71AFD">
      <w:pPr>
        <w:pStyle w:val="4"/>
        <w:numPr>
          <w:ilvl w:val="1"/>
          <w:numId w:val="2"/>
        </w:numPr>
        <w:spacing w:before="120" w:after="120" w:line="288" w:lineRule="auto"/>
        <w:ind w:firstLineChars="0"/>
        <w:jc w:val="left"/>
        <w:rPr>
          <w:rFonts w:ascii="宋体" w:hAnsi="宋体" w:eastAsia="宋体"/>
          <w:szCs w:val="21"/>
        </w:rPr>
      </w:pPr>
      <w:r>
        <w:rPr>
          <w:rFonts w:ascii="宋体" w:hAnsi="宋体" w:eastAsia="宋体" w:cs="Arial"/>
          <w:color w:val="1F2329"/>
          <w:szCs w:val="21"/>
        </w:rPr>
        <w:t>“发货整备”是指为将车辆运输至指定地点而开展的装运整合、准备和装货至运输车辆的筹备工作。</w:t>
      </w:r>
    </w:p>
    <w:p w14:paraId="5975D9DD">
      <w:pPr>
        <w:pStyle w:val="4"/>
        <w:numPr>
          <w:ilvl w:val="1"/>
          <w:numId w:val="2"/>
        </w:numPr>
        <w:spacing w:before="120" w:after="120" w:line="288" w:lineRule="auto"/>
        <w:ind w:firstLineChars="0"/>
        <w:jc w:val="left"/>
        <w:rPr>
          <w:rFonts w:ascii="宋体" w:hAnsi="宋体" w:eastAsia="宋体"/>
          <w:szCs w:val="21"/>
        </w:rPr>
      </w:pPr>
      <w:r>
        <w:rPr>
          <w:rFonts w:ascii="宋体" w:hAnsi="宋体" w:eastAsia="宋体" w:cs="Arial"/>
          <w:color w:val="1F2329"/>
          <w:szCs w:val="21"/>
        </w:rPr>
        <w:t>“价格清单”</w:t>
      </w:r>
      <w:r>
        <w:rPr>
          <w:rFonts w:hint="eastAsia" w:ascii="宋体" w:hAnsi="宋体" w:eastAsia="宋体" w:cs="Arial"/>
          <w:color w:val="1F2329"/>
          <w:szCs w:val="21"/>
        </w:rPr>
        <w:t>是指附件所示的报价表。</w:t>
      </w:r>
    </w:p>
    <w:p w14:paraId="0CCD66FF">
      <w:pPr>
        <w:pStyle w:val="4"/>
        <w:numPr>
          <w:ilvl w:val="1"/>
          <w:numId w:val="2"/>
        </w:numPr>
        <w:spacing w:before="120" w:after="120" w:line="288" w:lineRule="auto"/>
        <w:ind w:firstLineChars="0"/>
        <w:jc w:val="left"/>
        <w:rPr>
          <w:rFonts w:ascii="宋体" w:hAnsi="宋体" w:eastAsia="宋体"/>
          <w:szCs w:val="21"/>
        </w:rPr>
      </w:pPr>
      <w:r>
        <w:rPr>
          <w:rFonts w:ascii="宋体" w:hAnsi="宋体" w:eastAsia="宋体" w:cs="Arial"/>
          <w:color w:val="1F2329"/>
          <w:szCs w:val="21"/>
        </w:rPr>
        <w:t>“电子交接单”指</w:t>
      </w:r>
      <w:r>
        <w:rPr>
          <w:rFonts w:hint="eastAsia" w:ascii="宋体" w:hAnsi="宋体" w:eastAsia="宋体" w:cs="Arial"/>
          <w:color w:val="1F2329"/>
          <w:szCs w:val="21"/>
        </w:rPr>
        <w:t>乙方</w:t>
      </w:r>
      <w:r>
        <w:rPr>
          <w:rFonts w:ascii="宋体" w:hAnsi="宋体" w:eastAsia="宋体" w:cs="Arial"/>
          <w:color w:val="1F2329"/>
          <w:szCs w:val="21"/>
        </w:rPr>
        <w:t>与</w:t>
      </w:r>
      <w:r>
        <w:rPr>
          <w:rFonts w:hint="eastAsia" w:ascii="宋体" w:hAnsi="宋体" w:eastAsia="宋体" w:cs="Arial"/>
          <w:color w:val="1F2329"/>
          <w:szCs w:val="21"/>
        </w:rPr>
        <w:t>甲方</w:t>
      </w:r>
      <w:r>
        <w:rPr>
          <w:rFonts w:ascii="宋体" w:hAnsi="宋体" w:eastAsia="宋体" w:cs="Arial"/>
          <w:color w:val="1F2329"/>
          <w:szCs w:val="21"/>
        </w:rPr>
        <w:t>或由</w:t>
      </w:r>
      <w:r>
        <w:rPr>
          <w:rFonts w:hint="eastAsia" w:ascii="宋体" w:hAnsi="宋体" w:eastAsia="宋体" w:cs="Arial"/>
          <w:color w:val="1F2329"/>
          <w:szCs w:val="21"/>
        </w:rPr>
        <w:t>甲方</w:t>
      </w:r>
      <w:r>
        <w:rPr>
          <w:rFonts w:ascii="宋体" w:hAnsi="宋体" w:eastAsia="宋体" w:cs="Arial"/>
          <w:color w:val="1F2329"/>
          <w:szCs w:val="21"/>
        </w:rPr>
        <w:t>指定的第三方完成货物责任转移的电子描述，内容包括货物描述、运输的始发地和目的地，货物查验情况以及双方认为需要记录的其他信息等。</w:t>
      </w:r>
    </w:p>
    <w:p w14:paraId="156C7EF6">
      <w:pPr>
        <w:pStyle w:val="4"/>
        <w:numPr>
          <w:ilvl w:val="1"/>
          <w:numId w:val="2"/>
        </w:numPr>
        <w:spacing w:before="120" w:after="120" w:line="288" w:lineRule="auto"/>
        <w:ind w:firstLineChars="0"/>
        <w:jc w:val="left"/>
        <w:rPr>
          <w:rFonts w:ascii="宋体" w:hAnsi="宋体" w:eastAsia="宋体"/>
          <w:szCs w:val="21"/>
        </w:rPr>
      </w:pPr>
      <w:r>
        <w:rPr>
          <w:rFonts w:ascii="宋体" w:hAnsi="宋体" w:eastAsia="宋体" w:cs="Arial"/>
          <w:color w:val="1F2329"/>
          <w:szCs w:val="21"/>
        </w:rPr>
        <w:t>“</w:t>
      </w:r>
      <w:r>
        <w:rPr>
          <w:rFonts w:hint="eastAsia" w:ascii="宋体" w:hAnsi="宋体" w:eastAsia="宋体" w:cs="Arial"/>
          <w:color w:val="1F2329"/>
          <w:szCs w:val="21"/>
        </w:rPr>
        <w:t>收</w:t>
      </w:r>
      <w:r>
        <w:rPr>
          <w:rFonts w:ascii="宋体" w:hAnsi="宋体" w:eastAsia="宋体" w:cs="Arial"/>
          <w:color w:val="1F2329"/>
          <w:szCs w:val="21"/>
        </w:rPr>
        <w:t>货人”指</w:t>
      </w:r>
      <w:r>
        <w:rPr>
          <w:rFonts w:hint="eastAsia" w:ascii="宋体" w:hAnsi="宋体" w:eastAsia="宋体" w:cs="Arial"/>
          <w:color w:val="1F2329"/>
          <w:szCs w:val="21"/>
        </w:rPr>
        <w:t>甲方</w:t>
      </w:r>
      <w:r>
        <w:rPr>
          <w:rFonts w:ascii="宋体" w:hAnsi="宋体" w:eastAsia="宋体" w:cs="Arial"/>
          <w:color w:val="1F2329"/>
          <w:szCs w:val="21"/>
        </w:rPr>
        <w:t>自己或</w:t>
      </w:r>
      <w:r>
        <w:rPr>
          <w:rFonts w:hint="eastAsia" w:ascii="宋体" w:hAnsi="宋体" w:eastAsia="宋体" w:cs="Arial"/>
          <w:color w:val="1F2329"/>
          <w:szCs w:val="21"/>
        </w:rPr>
        <w:t>甲方</w:t>
      </w:r>
      <w:r>
        <w:rPr>
          <w:rFonts w:ascii="宋体" w:hAnsi="宋体" w:eastAsia="宋体" w:cs="Arial"/>
          <w:color w:val="1F2329"/>
          <w:szCs w:val="21"/>
        </w:rPr>
        <w:t>指定的收取货物的第三人</w:t>
      </w:r>
      <w:r>
        <w:rPr>
          <w:rFonts w:hint="eastAsia" w:ascii="宋体" w:hAnsi="宋体" w:eastAsia="宋体" w:cs="Arial"/>
          <w:color w:val="1F2329"/>
          <w:szCs w:val="21"/>
        </w:rPr>
        <w:t>。</w:t>
      </w:r>
    </w:p>
    <w:p w14:paraId="5232A504">
      <w:pPr>
        <w:pStyle w:val="4"/>
        <w:numPr>
          <w:ilvl w:val="1"/>
          <w:numId w:val="2"/>
        </w:numPr>
        <w:spacing w:before="120" w:after="120" w:line="288" w:lineRule="auto"/>
        <w:ind w:firstLineChars="0"/>
        <w:jc w:val="left"/>
        <w:rPr>
          <w:rFonts w:ascii="宋体" w:hAnsi="宋体" w:eastAsia="宋体"/>
          <w:szCs w:val="21"/>
        </w:rPr>
      </w:pPr>
      <w:r>
        <w:rPr>
          <w:rFonts w:hint="eastAsia" w:ascii="宋体" w:hAnsi="宋体" w:eastAsia="宋体"/>
          <w:szCs w:val="21"/>
        </w:rPr>
        <w:t>“系统”是指为完成本协议约定的所有服务乙方使用的由甲方开发或乙方自行开发或采购的系统。</w:t>
      </w:r>
    </w:p>
    <w:p w14:paraId="6BFA71B0">
      <w:pPr>
        <w:pStyle w:val="4"/>
        <w:numPr>
          <w:ilvl w:val="1"/>
          <w:numId w:val="2"/>
        </w:numPr>
        <w:spacing w:before="120" w:after="120" w:line="288" w:lineRule="auto"/>
        <w:ind w:firstLineChars="0"/>
        <w:jc w:val="left"/>
        <w:rPr>
          <w:rFonts w:ascii="宋体" w:hAnsi="宋体" w:eastAsia="宋体"/>
          <w:szCs w:val="21"/>
        </w:rPr>
      </w:pPr>
      <w:r>
        <w:rPr>
          <w:rFonts w:ascii="宋体" w:hAnsi="宋体" w:eastAsia="宋体" w:cs="Arial"/>
          <w:color w:val="1F2329"/>
          <w:szCs w:val="21"/>
        </w:rPr>
        <w:t>“协议文件”指本协议以及全部附件文件</w:t>
      </w:r>
      <w:r>
        <w:rPr>
          <w:rFonts w:hint="eastAsia" w:ascii="宋体" w:hAnsi="宋体" w:eastAsia="宋体" w:cs="Arial"/>
          <w:color w:val="1F2329"/>
          <w:szCs w:val="21"/>
        </w:rPr>
        <w:t>。</w:t>
      </w:r>
    </w:p>
    <w:p w14:paraId="0D94116B">
      <w:pPr>
        <w:pStyle w:val="4"/>
        <w:numPr>
          <w:ilvl w:val="1"/>
          <w:numId w:val="2"/>
        </w:numPr>
        <w:spacing w:before="120" w:after="120" w:line="288" w:lineRule="auto"/>
        <w:ind w:firstLineChars="0"/>
        <w:jc w:val="left"/>
        <w:rPr>
          <w:rFonts w:ascii="宋体" w:hAnsi="宋体" w:eastAsia="宋体"/>
          <w:szCs w:val="21"/>
        </w:rPr>
      </w:pPr>
      <w:r>
        <w:rPr>
          <w:rFonts w:ascii="宋体" w:hAnsi="宋体" w:eastAsia="宋体" w:cs="Arial"/>
          <w:color w:val="1F2329"/>
          <w:szCs w:val="21"/>
        </w:rPr>
        <w:t>“附件文件”指下文第18条所涉及的全部文件</w:t>
      </w:r>
      <w:r>
        <w:rPr>
          <w:rFonts w:hint="eastAsia" w:ascii="宋体" w:hAnsi="宋体" w:eastAsia="宋体" w:cs="Arial"/>
          <w:color w:val="1F2329"/>
          <w:szCs w:val="21"/>
        </w:rPr>
        <w:t>。</w:t>
      </w:r>
    </w:p>
    <w:p w14:paraId="22B92F10">
      <w:pPr>
        <w:pStyle w:val="4"/>
        <w:numPr>
          <w:ilvl w:val="1"/>
          <w:numId w:val="2"/>
        </w:numPr>
        <w:spacing w:before="120" w:after="120" w:line="288" w:lineRule="auto"/>
        <w:ind w:firstLineChars="0"/>
        <w:jc w:val="left"/>
        <w:rPr>
          <w:rFonts w:ascii="宋体" w:hAnsi="宋体" w:eastAsia="宋体"/>
          <w:szCs w:val="21"/>
        </w:rPr>
      </w:pPr>
      <w:r>
        <w:rPr>
          <w:rFonts w:ascii="宋体" w:hAnsi="宋体" w:eastAsia="宋体" w:cs="Arial"/>
          <w:color w:val="1F2329"/>
          <w:szCs w:val="21"/>
        </w:rPr>
        <w:t>“关联公司”是指相对与任何实体而言，控制、被控制或被共同控制的任何商业实体。</w:t>
      </w:r>
    </w:p>
    <w:p w14:paraId="04F32B2F">
      <w:pPr>
        <w:pStyle w:val="4"/>
        <w:numPr>
          <w:ilvl w:val="1"/>
          <w:numId w:val="2"/>
        </w:numPr>
        <w:spacing w:before="120" w:after="120" w:line="288" w:lineRule="auto"/>
        <w:ind w:firstLineChars="0"/>
        <w:jc w:val="left"/>
        <w:rPr>
          <w:rFonts w:ascii="宋体" w:hAnsi="宋体" w:eastAsia="宋体"/>
          <w:szCs w:val="21"/>
        </w:rPr>
      </w:pPr>
      <w:r>
        <w:rPr>
          <w:rFonts w:ascii="宋体" w:hAnsi="宋体" w:eastAsia="宋体" w:cs="Arial"/>
          <w:color w:val="1F2329"/>
          <w:szCs w:val="21"/>
        </w:rPr>
        <w:t>“技术要求”是指本合同附件及</w:t>
      </w:r>
      <w:r>
        <w:rPr>
          <w:rFonts w:hint="eastAsia" w:ascii="宋体" w:hAnsi="宋体" w:eastAsia="宋体" w:cs="Arial"/>
          <w:color w:val="1F2329"/>
          <w:szCs w:val="21"/>
        </w:rPr>
        <w:t>甲方</w:t>
      </w:r>
      <w:r>
        <w:rPr>
          <w:rFonts w:ascii="宋体" w:hAnsi="宋体" w:eastAsia="宋体" w:cs="Arial"/>
          <w:color w:val="1F2329"/>
          <w:szCs w:val="21"/>
        </w:rPr>
        <w:t>招标文件等包含的</w:t>
      </w:r>
      <w:r>
        <w:rPr>
          <w:rFonts w:hint="eastAsia" w:ascii="宋体" w:hAnsi="宋体" w:eastAsia="宋体" w:cs="Arial"/>
          <w:color w:val="1F2329"/>
          <w:szCs w:val="21"/>
        </w:rPr>
        <w:t>甲方</w:t>
      </w:r>
      <w:r>
        <w:rPr>
          <w:rFonts w:ascii="宋体" w:hAnsi="宋体" w:eastAsia="宋体" w:cs="Arial"/>
          <w:color w:val="1F2329"/>
          <w:szCs w:val="21"/>
        </w:rPr>
        <w:t>针对</w:t>
      </w:r>
      <w:r>
        <w:rPr>
          <w:rFonts w:hint="eastAsia" w:ascii="宋体" w:hAnsi="宋体" w:eastAsia="宋体" w:cs="Arial"/>
          <w:color w:val="1F2329"/>
          <w:szCs w:val="21"/>
        </w:rPr>
        <w:t>乙方</w:t>
      </w:r>
      <w:r>
        <w:rPr>
          <w:rFonts w:ascii="宋体" w:hAnsi="宋体" w:eastAsia="宋体" w:cs="Arial"/>
          <w:color w:val="1F2329"/>
          <w:szCs w:val="21"/>
        </w:rPr>
        <w:t>的要求。</w:t>
      </w:r>
    </w:p>
    <w:p w14:paraId="3B74239E">
      <w:pPr>
        <w:spacing w:before="120" w:after="120" w:line="288" w:lineRule="auto"/>
        <w:jc w:val="left"/>
        <w:rPr>
          <w:rFonts w:ascii="宋体" w:hAnsi="宋体" w:eastAsia="宋体"/>
          <w:szCs w:val="21"/>
        </w:rPr>
      </w:pPr>
    </w:p>
    <w:p w14:paraId="3ABF579F">
      <w:pPr>
        <w:pStyle w:val="4"/>
        <w:numPr>
          <w:ilvl w:val="0"/>
          <w:numId w:val="1"/>
        </w:numPr>
        <w:spacing w:before="120" w:after="120" w:line="288" w:lineRule="auto"/>
        <w:ind w:firstLineChars="0"/>
        <w:jc w:val="left"/>
        <w:rPr>
          <w:rFonts w:ascii="宋体" w:hAnsi="宋体" w:eastAsia="宋体"/>
          <w:b/>
          <w:szCs w:val="21"/>
        </w:rPr>
      </w:pPr>
      <w:r>
        <w:rPr>
          <w:rFonts w:hint="eastAsia" w:ascii="宋体" w:hAnsi="宋体" w:eastAsia="宋体"/>
          <w:b/>
          <w:szCs w:val="21"/>
        </w:rPr>
        <w:t>运输服务</w:t>
      </w:r>
    </w:p>
    <w:p w14:paraId="5486E08F">
      <w:pPr>
        <w:pStyle w:val="4"/>
        <w:numPr>
          <w:ilvl w:val="1"/>
          <w:numId w:val="3"/>
        </w:numPr>
        <w:spacing w:before="120" w:after="120" w:line="288" w:lineRule="auto"/>
        <w:ind w:firstLineChars="0"/>
        <w:jc w:val="left"/>
        <w:rPr>
          <w:rFonts w:ascii="宋体" w:hAnsi="宋体" w:eastAsia="宋体" w:cs="Arial"/>
          <w:color w:val="1F2329"/>
          <w:szCs w:val="21"/>
        </w:rPr>
      </w:pPr>
      <w:r>
        <w:rPr>
          <w:rFonts w:hint="eastAsia" w:ascii="宋体" w:hAnsi="宋体" w:eastAsia="宋体" w:cs="Arial"/>
          <w:color w:val="1F2329"/>
          <w:szCs w:val="21"/>
        </w:rPr>
        <w:t>甲方</w:t>
      </w:r>
      <w:r>
        <w:rPr>
          <w:rFonts w:ascii="宋体" w:hAnsi="宋体" w:eastAsia="宋体" w:cs="Arial"/>
          <w:color w:val="1F2329"/>
          <w:szCs w:val="21"/>
        </w:rPr>
        <w:t>通过</w:t>
      </w:r>
      <w:r>
        <w:rPr>
          <w:rFonts w:ascii="宋体" w:hAnsi="宋体" w:eastAsia="宋体" w:cs="Arial"/>
          <w:color w:val="1F2329"/>
          <w:szCs w:val="21"/>
          <w:u w:val="single"/>
        </w:rPr>
        <w:t xml:space="preserve">  理想汽车整车物流</w:t>
      </w:r>
      <w:r>
        <w:rPr>
          <w:rFonts w:hint="eastAsia" w:ascii="宋体" w:hAnsi="宋体" w:eastAsia="宋体" w:cs="Arial"/>
          <w:color w:val="1F2329"/>
          <w:szCs w:val="21"/>
          <w:u w:val="single"/>
        </w:rPr>
        <w:t xml:space="preserve"> </w:t>
      </w:r>
      <w:r>
        <w:rPr>
          <w:rFonts w:ascii="宋体" w:hAnsi="宋体" w:eastAsia="宋体" w:cs="Arial"/>
          <w:color w:val="1F2329"/>
          <w:szCs w:val="21"/>
        </w:rPr>
        <w:t>系统向</w:t>
      </w:r>
      <w:r>
        <w:rPr>
          <w:rFonts w:hint="eastAsia" w:ascii="宋体" w:hAnsi="宋体" w:eastAsia="宋体" w:cs="Arial"/>
          <w:color w:val="1F2329"/>
          <w:szCs w:val="21"/>
        </w:rPr>
        <w:t>乙方</w:t>
      </w:r>
      <w:r>
        <w:rPr>
          <w:rFonts w:ascii="宋体" w:hAnsi="宋体" w:eastAsia="宋体" w:cs="Arial"/>
          <w:color w:val="1F2329"/>
          <w:szCs w:val="21"/>
        </w:rPr>
        <w:t>下达运输指令的发送运输服务</w:t>
      </w:r>
      <w:r>
        <w:rPr>
          <w:rFonts w:hint="eastAsia" w:ascii="宋体" w:hAnsi="宋体" w:eastAsia="宋体" w:cs="Arial"/>
          <w:color w:val="1F2329"/>
          <w:szCs w:val="21"/>
        </w:rPr>
        <w:t>。</w:t>
      </w:r>
    </w:p>
    <w:p w14:paraId="714A4E71">
      <w:pPr>
        <w:pStyle w:val="4"/>
        <w:numPr>
          <w:ilvl w:val="1"/>
          <w:numId w:val="3"/>
        </w:numPr>
        <w:spacing w:before="120" w:after="120" w:line="288" w:lineRule="auto"/>
        <w:ind w:firstLineChars="0"/>
        <w:jc w:val="left"/>
        <w:rPr>
          <w:rFonts w:ascii="宋体" w:hAnsi="宋体" w:eastAsia="宋体" w:cs="Arial"/>
          <w:color w:val="1F2329"/>
          <w:szCs w:val="21"/>
        </w:rPr>
      </w:pPr>
      <w:r>
        <w:rPr>
          <w:rFonts w:hint="eastAsia" w:ascii="宋体" w:hAnsi="宋体" w:eastAsia="宋体" w:cs="Arial"/>
          <w:color w:val="1F2329"/>
          <w:szCs w:val="21"/>
        </w:rPr>
        <w:t>甲方</w:t>
      </w:r>
      <w:r>
        <w:rPr>
          <w:rFonts w:ascii="宋体" w:hAnsi="宋体" w:eastAsia="宋体" w:cs="Arial"/>
          <w:color w:val="1F2329"/>
          <w:szCs w:val="21"/>
        </w:rPr>
        <w:t>采用电子交接的方式实现运输服务的确定和终止，</w:t>
      </w:r>
      <w:r>
        <w:rPr>
          <w:rFonts w:hint="eastAsia" w:ascii="宋体" w:hAnsi="宋体" w:eastAsia="宋体" w:cs="Arial"/>
          <w:color w:val="1F2329"/>
          <w:szCs w:val="21"/>
        </w:rPr>
        <w:t>甲方</w:t>
      </w:r>
      <w:r>
        <w:rPr>
          <w:rFonts w:ascii="宋体" w:hAnsi="宋体" w:eastAsia="宋体" w:cs="Arial"/>
          <w:color w:val="1F2329"/>
          <w:szCs w:val="21"/>
        </w:rPr>
        <w:t>发出的电子交接单应同上述运输指令一并通知于</w:t>
      </w:r>
      <w:r>
        <w:rPr>
          <w:rFonts w:hint="eastAsia" w:ascii="宋体" w:hAnsi="宋体" w:eastAsia="宋体" w:cs="Arial"/>
          <w:color w:val="1F2329"/>
          <w:szCs w:val="21"/>
        </w:rPr>
        <w:t>乙方</w:t>
      </w:r>
      <w:r>
        <w:rPr>
          <w:rFonts w:ascii="宋体" w:hAnsi="宋体" w:eastAsia="宋体" w:cs="Arial"/>
          <w:color w:val="1F2329"/>
          <w:szCs w:val="21"/>
        </w:rPr>
        <w:t>。</w:t>
      </w:r>
    </w:p>
    <w:p w14:paraId="132D0B2E">
      <w:pPr>
        <w:pStyle w:val="4"/>
        <w:numPr>
          <w:ilvl w:val="1"/>
          <w:numId w:val="3"/>
        </w:numPr>
        <w:spacing w:before="120" w:after="120" w:line="288" w:lineRule="auto"/>
        <w:ind w:firstLineChars="0"/>
        <w:jc w:val="left"/>
        <w:rPr>
          <w:rFonts w:ascii="宋体" w:hAnsi="宋体" w:eastAsia="宋体" w:cs="Arial"/>
          <w:color w:val="1F2329"/>
          <w:szCs w:val="21"/>
        </w:rPr>
      </w:pPr>
      <w:r>
        <w:rPr>
          <w:rFonts w:ascii="宋体" w:hAnsi="宋体" w:eastAsia="宋体" w:cs="Arial"/>
          <w:color w:val="1F2329"/>
          <w:szCs w:val="21"/>
        </w:rPr>
        <w:t>除非</w:t>
      </w:r>
      <w:r>
        <w:rPr>
          <w:rFonts w:hint="eastAsia" w:ascii="宋体" w:hAnsi="宋体" w:eastAsia="宋体" w:cs="Arial"/>
          <w:color w:val="1F2329"/>
          <w:szCs w:val="21"/>
        </w:rPr>
        <w:t>乙方</w:t>
      </w:r>
      <w:r>
        <w:rPr>
          <w:rFonts w:ascii="宋体" w:hAnsi="宋体" w:eastAsia="宋体" w:cs="Arial"/>
          <w:color w:val="1F2329"/>
          <w:szCs w:val="21"/>
        </w:rPr>
        <w:t>在收到运输指令24小时内以书面</w:t>
      </w:r>
      <w:r>
        <w:rPr>
          <w:rFonts w:hint="eastAsia" w:ascii="宋体" w:hAnsi="宋体" w:eastAsia="宋体" w:cs="Arial"/>
          <w:color w:val="1F2329"/>
          <w:szCs w:val="21"/>
        </w:rPr>
        <w:t>或邮件</w:t>
      </w:r>
      <w:r>
        <w:rPr>
          <w:rFonts w:ascii="宋体" w:hAnsi="宋体" w:eastAsia="宋体" w:cs="Arial"/>
          <w:color w:val="1F2329"/>
          <w:szCs w:val="21"/>
        </w:rPr>
        <w:t>形式告知</w:t>
      </w:r>
      <w:r>
        <w:rPr>
          <w:rFonts w:hint="eastAsia" w:ascii="宋体" w:hAnsi="宋体" w:eastAsia="宋体" w:cs="Arial"/>
          <w:color w:val="1F2329"/>
          <w:szCs w:val="21"/>
        </w:rPr>
        <w:t>甲方</w:t>
      </w:r>
      <w:r>
        <w:rPr>
          <w:rFonts w:ascii="宋体" w:hAnsi="宋体" w:eastAsia="宋体" w:cs="Arial"/>
          <w:color w:val="1F2329"/>
          <w:szCs w:val="21"/>
        </w:rPr>
        <w:t>其对该等运输服务有任何异议，否则，</w:t>
      </w:r>
      <w:r>
        <w:rPr>
          <w:rFonts w:hint="eastAsia" w:ascii="宋体" w:hAnsi="宋体" w:eastAsia="宋体" w:cs="Arial"/>
          <w:color w:val="1F2329"/>
          <w:szCs w:val="21"/>
        </w:rPr>
        <w:t>甲方</w:t>
      </w:r>
      <w:r>
        <w:rPr>
          <w:rFonts w:ascii="宋体" w:hAnsi="宋体" w:eastAsia="宋体" w:cs="Arial"/>
          <w:color w:val="1F2329"/>
          <w:szCs w:val="21"/>
        </w:rPr>
        <w:t>发出指令后视为</w:t>
      </w:r>
      <w:r>
        <w:rPr>
          <w:rFonts w:hint="eastAsia" w:ascii="宋体" w:hAnsi="宋体" w:eastAsia="宋体" w:cs="Arial"/>
          <w:color w:val="1F2329"/>
          <w:szCs w:val="21"/>
        </w:rPr>
        <w:t>乙方</w:t>
      </w:r>
      <w:r>
        <w:rPr>
          <w:rFonts w:ascii="宋体" w:hAnsi="宋体" w:eastAsia="宋体" w:cs="Arial"/>
          <w:color w:val="1F2329"/>
          <w:szCs w:val="21"/>
        </w:rPr>
        <w:t>接受运输指令。</w:t>
      </w:r>
      <w:r>
        <w:rPr>
          <w:rFonts w:hint="eastAsia" w:ascii="宋体" w:hAnsi="宋体" w:eastAsia="宋体" w:cs="Arial"/>
          <w:color w:val="1F2329"/>
          <w:szCs w:val="21"/>
        </w:rPr>
        <w:t>乙方</w:t>
      </w:r>
      <w:r>
        <w:rPr>
          <w:rFonts w:ascii="宋体" w:hAnsi="宋体" w:eastAsia="宋体" w:cs="Arial"/>
          <w:color w:val="1F2329"/>
          <w:szCs w:val="21"/>
        </w:rPr>
        <w:t>应当遵循运输指令中援引的规定。</w:t>
      </w:r>
    </w:p>
    <w:p w14:paraId="1773C808">
      <w:pPr>
        <w:spacing w:before="120" w:after="120" w:line="288" w:lineRule="auto"/>
        <w:jc w:val="left"/>
        <w:rPr>
          <w:rFonts w:ascii="宋体" w:hAnsi="宋体" w:eastAsia="宋体"/>
          <w:b/>
          <w:szCs w:val="21"/>
        </w:rPr>
      </w:pPr>
    </w:p>
    <w:p w14:paraId="65057B12">
      <w:pPr>
        <w:pStyle w:val="4"/>
        <w:numPr>
          <w:ilvl w:val="0"/>
          <w:numId w:val="1"/>
        </w:numPr>
        <w:spacing w:before="120" w:after="120" w:line="288" w:lineRule="auto"/>
        <w:ind w:firstLineChars="0"/>
        <w:jc w:val="left"/>
        <w:rPr>
          <w:rFonts w:ascii="宋体" w:hAnsi="宋体" w:eastAsia="宋体" w:cs="Arial"/>
          <w:b/>
          <w:color w:val="1F2329"/>
          <w:szCs w:val="21"/>
        </w:rPr>
      </w:pPr>
      <w:r>
        <w:rPr>
          <w:rFonts w:hint="eastAsia" w:ascii="宋体" w:hAnsi="宋体" w:eastAsia="宋体" w:cs="Arial"/>
          <w:b/>
          <w:color w:val="1F2329"/>
          <w:szCs w:val="21"/>
        </w:rPr>
        <w:t>乙方的一般权利和义务</w:t>
      </w:r>
    </w:p>
    <w:p w14:paraId="583A21EB">
      <w:pPr>
        <w:pStyle w:val="4"/>
        <w:numPr>
          <w:ilvl w:val="1"/>
          <w:numId w:val="4"/>
        </w:numPr>
        <w:spacing w:before="120" w:after="120" w:line="288" w:lineRule="auto"/>
        <w:ind w:firstLineChars="0"/>
        <w:jc w:val="left"/>
        <w:rPr>
          <w:rFonts w:ascii="宋体" w:hAnsi="宋体" w:eastAsia="宋体" w:cs="Arial"/>
          <w:color w:val="1F2329"/>
          <w:szCs w:val="21"/>
        </w:rPr>
      </w:pPr>
      <w:r>
        <w:rPr>
          <w:rFonts w:hint="eastAsia" w:ascii="宋体" w:hAnsi="宋体" w:eastAsia="宋体" w:cs="Arial"/>
          <w:color w:val="1F2329"/>
          <w:szCs w:val="21"/>
        </w:rPr>
        <w:t>乙方</w:t>
      </w:r>
      <w:r>
        <w:rPr>
          <w:rFonts w:ascii="宋体" w:hAnsi="宋体" w:eastAsia="宋体" w:cs="Arial"/>
          <w:color w:val="1F2329"/>
          <w:szCs w:val="21"/>
        </w:rPr>
        <w:t>应按照</w:t>
      </w:r>
      <w:r>
        <w:rPr>
          <w:rFonts w:hint="eastAsia" w:ascii="宋体" w:hAnsi="宋体" w:eastAsia="宋体" w:cs="Arial"/>
          <w:color w:val="1F2329"/>
          <w:szCs w:val="21"/>
        </w:rPr>
        <w:t>甲方</w:t>
      </w:r>
      <w:r>
        <w:rPr>
          <w:rFonts w:ascii="宋体" w:hAnsi="宋体" w:eastAsia="宋体" w:cs="Arial"/>
          <w:color w:val="1F2329"/>
          <w:szCs w:val="21"/>
        </w:rPr>
        <w:t>招标文件及本协议附件（“技术要求文件”）约定之内容勤勉地履行运输服务</w:t>
      </w:r>
      <w:r>
        <w:rPr>
          <w:rFonts w:hint="eastAsia" w:ascii="宋体" w:hAnsi="宋体" w:eastAsia="宋体" w:cs="Arial"/>
          <w:color w:val="1F2329"/>
          <w:szCs w:val="21"/>
        </w:rPr>
        <w:t>，</w:t>
      </w:r>
      <w:r>
        <w:rPr>
          <w:rFonts w:ascii="宋体" w:hAnsi="宋体" w:eastAsia="宋体" w:cs="Arial"/>
          <w:color w:val="1F2329"/>
          <w:szCs w:val="21"/>
        </w:rPr>
        <w:t>并在约定服务的履行出现中断时立即书面通知甲方</w:t>
      </w:r>
      <w:r>
        <w:rPr>
          <w:rFonts w:hint="eastAsia" w:ascii="宋体" w:hAnsi="宋体" w:eastAsia="宋体" w:cs="Arial"/>
          <w:color w:val="1F2329"/>
          <w:szCs w:val="21"/>
        </w:rPr>
        <w:t>。</w:t>
      </w:r>
    </w:p>
    <w:p w14:paraId="7FF77D6C">
      <w:pPr>
        <w:pStyle w:val="4"/>
        <w:numPr>
          <w:ilvl w:val="1"/>
          <w:numId w:val="4"/>
        </w:numPr>
        <w:spacing w:before="120" w:after="120" w:line="288" w:lineRule="auto"/>
        <w:ind w:firstLineChars="0"/>
        <w:jc w:val="left"/>
        <w:rPr>
          <w:rFonts w:ascii="宋体" w:hAnsi="宋体" w:eastAsia="宋体" w:cs="Arial"/>
          <w:color w:val="1F2329"/>
          <w:szCs w:val="21"/>
        </w:rPr>
      </w:pPr>
      <w:r>
        <w:rPr>
          <w:rFonts w:hint="eastAsia" w:ascii="宋体" w:hAnsi="宋体" w:eastAsia="宋体" w:cs="Arial"/>
          <w:color w:val="1F2329"/>
          <w:szCs w:val="21"/>
        </w:rPr>
        <w:t>乙方提供运输服务时</w:t>
      </w:r>
      <w:r>
        <w:rPr>
          <w:rFonts w:ascii="宋体" w:hAnsi="宋体" w:eastAsia="宋体" w:cs="Arial"/>
          <w:color w:val="1F2329"/>
          <w:szCs w:val="21"/>
        </w:rPr>
        <w:t>应按约定的时间、地点，安全无损地将货物运抵目的地。</w:t>
      </w:r>
    </w:p>
    <w:p w14:paraId="3260B81F">
      <w:pPr>
        <w:pStyle w:val="4"/>
        <w:numPr>
          <w:ilvl w:val="1"/>
          <w:numId w:val="4"/>
        </w:numPr>
        <w:spacing w:before="120" w:after="120" w:line="288" w:lineRule="auto"/>
        <w:ind w:firstLineChars="0"/>
        <w:jc w:val="left"/>
        <w:rPr>
          <w:rFonts w:ascii="宋体" w:hAnsi="宋体" w:eastAsia="宋体" w:cs="Arial"/>
          <w:color w:val="1F2329"/>
          <w:szCs w:val="21"/>
        </w:rPr>
      </w:pPr>
      <w:r>
        <w:rPr>
          <w:rFonts w:ascii="宋体" w:hAnsi="宋体" w:eastAsia="宋体" w:cs="Arial"/>
          <w:color w:val="1F2329"/>
          <w:szCs w:val="21"/>
        </w:rPr>
        <w:t>乙方应确保为履行约定服务配备数量充足的员工，包括季节性高峰期（按照预测数量）。乙方应确保此类员工有足够的能力履行职责。</w:t>
      </w:r>
    </w:p>
    <w:p w14:paraId="27791367">
      <w:pPr>
        <w:pStyle w:val="4"/>
        <w:numPr>
          <w:ilvl w:val="1"/>
          <w:numId w:val="4"/>
        </w:numPr>
        <w:spacing w:before="120" w:after="120" w:line="288" w:lineRule="auto"/>
        <w:ind w:firstLineChars="0"/>
        <w:jc w:val="left"/>
        <w:rPr>
          <w:rFonts w:ascii="宋体" w:hAnsi="宋体" w:eastAsia="宋体" w:cs="Arial"/>
          <w:color w:val="1F2329"/>
          <w:szCs w:val="21"/>
        </w:rPr>
      </w:pPr>
      <w:r>
        <w:rPr>
          <w:rFonts w:hint="eastAsia" w:ascii="宋体" w:hAnsi="宋体" w:eastAsia="宋体" w:cs="Arial"/>
          <w:color w:val="1F2329"/>
          <w:szCs w:val="21"/>
        </w:rPr>
        <w:t>乙方为甲方提供物流运输服务时，乙方</w:t>
      </w:r>
      <w:r>
        <w:rPr>
          <w:rFonts w:ascii="宋体" w:hAnsi="宋体" w:eastAsia="宋体" w:cs="Arial"/>
          <w:color w:val="1F2329"/>
          <w:szCs w:val="21"/>
        </w:rPr>
        <w:t>按照</w:t>
      </w:r>
      <w:r>
        <w:rPr>
          <w:rFonts w:hint="eastAsia" w:ascii="宋体" w:hAnsi="宋体" w:eastAsia="宋体" w:cs="Arial"/>
          <w:color w:val="1F2329"/>
          <w:szCs w:val="21"/>
        </w:rPr>
        <w:t>甲方</w:t>
      </w:r>
      <w:r>
        <w:rPr>
          <w:rFonts w:ascii="宋体" w:hAnsi="宋体" w:eastAsia="宋体" w:cs="Arial"/>
          <w:color w:val="1F2329"/>
          <w:szCs w:val="21"/>
        </w:rPr>
        <w:t>指示到指定地点取走指定车辆。</w:t>
      </w:r>
      <w:r>
        <w:rPr>
          <w:rFonts w:hint="eastAsia" w:ascii="宋体" w:hAnsi="宋体" w:eastAsia="宋体" w:cs="Arial"/>
          <w:color w:val="1F2329"/>
          <w:szCs w:val="21"/>
        </w:rPr>
        <w:t>乙方</w:t>
      </w:r>
      <w:r>
        <w:rPr>
          <w:rFonts w:ascii="宋体" w:hAnsi="宋体" w:eastAsia="宋体" w:cs="Arial"/>
          <w:color w:val="1F2329"/>
          <w:szCs w:val="21"/>
        </w:rPr>
        <w:t>负责装卸、搬运</w:t>
      </w:r>
      <w:r>
        <w:rPr>
          <w:rFonts w:hint="eastAsia" w:ascii="宋体" w:hAnsi="宋体" w:eastAsia="宋体" w:cs="Arial"/>
          <w:color w:val="1F2329"/>
          <w:szCs w:val="21"/>
        </w:rPr>
        <w:t>甲方</w:t>
      </w:r>
      <w:r>
        <w:rPr>
          <w:rFonts w:ascii="宋体" w:hAnsi="宋体" w:eastAsia="宋体" w:cs="Arial"/>
          <w:color w:val="1F2329"/>
          <w:szCs w:val="21"/>
        </w:rPr>
        <w:t>车辆，自</w:t>
      </w:r>
      <w:r>
        <w:rPr>
          <w:rFonts w:hint="eastAsia" w:ascii="宋体" w:hAnsi="宋体" w:eastAsia="宋体" w:cs="Arial"/>
          <w:color w:val="1F2329"/>
          <w:szCs w:val="21"/>
        </w:rPr>
        <w:t>乙方</w:t>
      </w:r>
      <w:r>
        <w:rPr>
          <w:rFonts w:ascii="宋体" w:hAnsi="宋体" w:eastAsia="宋体" w:cs="Arial"/>
          <w:color w:val="1F2329"/>
          <w:szCs w:val="21"/>
        </w:rPr>
        <w:t>开始取货后直至车辆交付给</w:t>
      </w:r>
      <w:r>
        <w:rPr>
          <w:rFonts w:hint="eastAsia" w:ascii="宋体" w:hAnsi="宋体" w:eastAsia="宋体" w:cs="Arial"/>
          <w:color w:val="1F2329"/>
          <w:szCs w:val="21"/>
        </w:rPr>
        <w:t>甲方</w:t>
      </w:r>
      <w:r>
        <w:rPr>
          <w:rFonts w:ascii="宋体" w:hAnsi="宋体" w:eastAsia="宋体" w:cs="Arial"/>
          <w:color w:val="1F2329"/>
          <w:szCs w:val="21"/>
        </w:rPr>
        <w:t>或</w:t>
      </w:r>
      <w:r>
        <w:rPr>
          <w:rFonts w:hint="eastAsia" w:ascii="宋体" w:hAnsi="宋体" w:eastAsia="宋体" w:cs="Arial"/>
          <w:color w:val="1F2329"/>
          <w:szCs w:val="21"/>
        </w:rPr>
        <w:t>甲方</w:t>
      </w:r>
      <w:r>
        <w:rPr>
          <w:rFonts w:ascii="宋体" w:hAnsi="宋体" w:eastAsia="宋体" w:cs="Arial"/>
          <w:color w:val="1F2329"/>
          <w:szCs w:val="21"/>
        </w:rPr>
        <w:t>指定收货人，全部期间车辆毁损、灭失的风险</w:t>
      </w:r>
      <w:r>
        <w:rPr>
          <w:rFonts w:hint="eastAsia" w:ascii="宋体" w:hAnsi="宋体" w:eastAsia="宋体" w:cs="Arial"/>
          <w:color w:val="1F2329"/>
          <w:szCs w:val="21"/>
        </w:rPr>
        <w:t>须</w:t>
      </w:r>
      <w:r>
        <w:rPr>
          <w:rFonts w:ascii="宋体" w:hAnsi="宋体" w:eastAsia="宋体" w:cs="Arial"/>
          <w:color w:val="1F2329"/>
          <w:szCs w:val="21"/>
        </w:rPr>
        <w:t>由</w:t>
      </w:r>
      <w:r>
        <w:rPr>
          <w:rFonts w:hint="eastAsia" w:ascii="宋体" w:hAnsi="宋体" w:eastAsia="宋体" w:cs="Arial"/>
          <w:color w:val="1F2329"/>
          <w:szCs w:val="21"/>
        </w:rPr>
        <w:t>乙方</w:t>
      </w:r>
      <w:r>
        <w:rPr>
          <w:rFonts w:ascii="宋体" w:hAnsi="宋体" w:eastAsia="宋体" w:cs="Arial"/>
          <w:color w:val="1F2329"/>
          <w:szCs w:val="21"/>
        </w:rPr>
        <w:t>承担。</w:t>
      </w:r>
    </w:p>
    <w:p w14:paraId="25F4614E">
      <w:pPr>
        <w:pStyle w:val="4"/>
        <w:numPr>
          <w:ilvl w:val="1"/>
          <w:numId w:val="4"/>
        </w:numPr>
        <w:spacing w:before="120" w:after="120" w:line="288" w:lineRule="auto"/>
        <w:ind w:firstLineChars="0"/>
        <w:jc w:val="left"/>
        <w:rPr>
          <w:rFonts w:ascii="宋体" w:hAnsi="宋体" w:eastAsia="宋体" w:cs="Arial"/>
          <w:color w:val="1F2329"/>
          <w:szCs w:val="21"/>
        </w:rPr>
      </w:pPr>
      <w:r>
        <w:rPr>
          <w:rFonts w:hint="eastAsia" w:ascii="宋体" w:hAnsi="宋体" w:eastAsia="宋体" w:cs="Arial"/>
          <w:color w:val="1F2329"/>
          <w:szCs w:val="21"/>
        </w:rPr>
        <w:t>乙方同意</w:t>
      </w:r>
      <w:r>
        <w:rPr>
          <w:rFonts w:ascii="宋体" w:hAnsi="宋体" w:eastAsia="宋体" w:cs="Arial"/>
          <w:color w:val="1F2329"/>
          <w:szCs w:val="21"/>
        </w:rPr>
        <w:t>通过</w:t>
      </w:r>
      <w:r>
        <w:rPr>
          <w:rFonts w:hint="eastAsia" w:ascii="宋体" w:hAnsi="宋体" w:eastAsia="宋体" w:cs="Arial"/>
          <w:color w:val="1F2329"/>
          <w:szCs w:val="21"/>
        </w:rPr>
        <w:t>甲方</w:t>
      </w:r>
      <w:r>
        <w:rPr>
          <w:rFonts w:ascii="宋体" w:hAnsi="宋体" w:eastAsia="宋体" w:cs="Arial"/>
          <w:color w:val="1F2329"/>
          <w:szCs w:val="21"/>
        </w:rPr>
        <w:t>指定系统</w:t>
      </w:r>
      <w:r>
        <w:rPr>
          <w:rFonts w:ascii="宋体" w:hAnsi="宋体" w:eastAsia="宋体" w:cs="Arial"/>
          <w:color w:val="1F2329"/>
          <w:szCs w:val="21"/>
          <w:u w:val="single"/>
        </w:rPr>
        <w:t xml:space="preserve">  理想汽车整车物流  </w:t>
      </w:r>
      <w:r>
        <w:rPr>
          <w:rFonts w:ascii="宋体" w:hAnsi="宋体" w:eastAsia="宋体" w:cs="Arial"/>
          <w:color w:val="1F2329"/>
          <w:szCs w:val="21"/>
        </w:rPr>
        <w:t>系统中的数据电文、确认书等形式确认履约内容。</w:t>
      </w:r>
      <w:r>
        <w:rPr>
          <w:rFonts w:hint="eastAsia" w:ascii="宋体" w:hAnsi="宋体" w:eastAsia="宋体" w:cs="Arial"/>
          <w:color w:val="1F2329"/>
          <w:szCs w:val="21"/>
        </w:rPr>
        <w:t>乙方</w:t>
      </w:r>
      <w:r>
        <w:rPr>
          <w:rFonts w:ascii="宋体" w:hAnsi="宋体" w:eastAsia="宋体" w:cs="Arial"/>
          <w:color w:val="1F2329"/>
          <w:szCs w:val="21"/>
        </w:rPr>
        <w:t>承诺将遵守系统中的各种规则。</w:t>
      </w:r>
      <w:r>
        <w:rPr>
          <w:rFonts w:hint="eastAsia" w:ascii="宋体" w:hAnsi="宋体" w:eastAsia="宋体" w:cs="Arial"/>
          <w:color w:val="1F2329"/>
          <w:szCs w:val="21"/>
        </w:rPr>
        <w:t>甲方</w:t>
      </w:r>
      <w:r>
        <w:rPr>
          <w:rFonts w:ascii="宋体" w:hAnsi="宋体" w:eastAsia="宋体" w:cs="Arial"/>
          <w:color w:val="1F2329"/>
          <w:szCs w:val="21"/>
        </w:rPr>
        <w:t>可不时通过系统向</w:t>
      </w:r>
      <w:r>
        <w:rPr>
          <w:rFonts w:hint="eastAsia" w:ascii="宋体" w:hAnsi="宋体" w:eastAsia="宋体" w:cs="Arial"/>
          <w:color w:val="1F2329"/>
          <w:szCs w:val="21"/>
        </w:rPr>
        <w:t>乙方</w:t>
      </w:r>
      <w:r>
        <w:rPr>
          <w:rFonts w:ascii="宋体" w:hAnsi="宋体" w:eastAsia="宋体" w:cs="Arial"/>
          <w:color w:val="1F2329"/>
          <w:szCs w:val="21"/>
        </w:rPr>
        <w:t>发送各类信息、通知，</w:t>
      </w:r>
      <w:r>
        <w:rPr>
          <w:rFonts w:hint="eastAsia" w:ascii="宋体" w:hAnsi="宋体" w:eastAsia="宋体" w:cs="Arial"/>
          <w:color w:val="1F2329"/>
          <w:szCs w:val="21"/>
        </w:rPr>
        <w:t>乙方</w:t>
      </w:r>
      <w:r>
        <w:rPr>
          <w:rFonts w:ascii="宋体" w:hAnsi="宋体" w:eastAsia="宋体" w:cs="Arial"/>
          <w:color w:val="1F2329"/>
          <w:szCs w:val="21"/>
        </w:rPr>
        <w:t>及其指定被授权人应及时登陆系统查询、接收、确认。</w:t>
      </w:r>
    </w:p>
    <w:p w14:paraId="69527399">
      <w:pPr>
        <w:pStyle w:val="4"/>
        <w:numPr>
          <w:ilvl w:val="1"/>
          <w:numId w:val="4"/>
        </w:numPr>
        <w:spacing w:before="120" w:after="120" w:line="288" w:lineRule="auto"/>
        <w:ind w:firstLineChars="0"/>
        <w:jc w:val="left"/>
        <w:rPr>
          <w:rFonts w:ascii="宋体" w:hAnsi="宋体" w:eastAsia="宋体" w:cs="Arial"/>
          <w:color w:val="1F2329"/>
          <w:szCs w:val="21"/>
        </w:rPr>
      </w:pPr>
      <w:r>
        <w:rPr>
          <w:rFonts w:hint="eastAsia" w:ascii="宋体" w:hAnsi="宋体" w:eastAsia="宋体" w:cs="Arial"/>
          <w:color w:val="1F2329"/>
          <w:szCs w:val="21"/>
        </w:rPr>
        <w:t>乙方确认并同意，乙方在使用甲方提供的包括但不限于</w:t>
      </w:r>
      <w:r>
        <w:rPr>
          <w:rFonts w:ascii="宋体" w:hAnsi="宋体" w:eastAsia="宋体" w:cs="Arial"/>
          <w:color w:val="1F2329"/>
          <w:szCs w:val="21"/>
        </w:rPr>
        <w:t>理想汽车</w:t>
      </w:r>
      <w:r>
        <w:rPr>
          <w:rFonts w:hint="eastAsia" w:ascii="宋体" w:hAnsi="宋体" w:eastAsia="宋体" w:cs="Arial"/>
          <w:color w:val="1F2329"/>
          <w:szCs w:val="21"/>
        </w:rPr>
        <w:t>整车</w:t>
      </w:r>
      <w:r>
        <w:rPr>
          <w:rFonts w:ascii="宋体" w:hAnsi="宋体" w:eastAsia="宋体" w:cs="Arial"/>
          <w:color w:val="1F2329"/>
          <w:szCs w:val="21"/>
        </w:rPr>
        <w:t>物流相关系统中，乙方员工</w:t>
      </w:r>
      <w:r>
        <w:rPr>
          <w:rFonts w:hint="eastAsia" w:ascii="宋体" w:hAnsi="宋体" w:eastAsia="宋体" w:cs="Arial"/>
          <w:color w:val="1F2329"/>
          <w:szCs w:val="21"/>
        </w:rPr>
        <w:t>或乙方委托的第三方</w:t>
      </w:r>
      <w:r>
        <w:rPr>
          <w:rFonts w:ascii="宋体" w:hAnsi="宋体" w:eastAsia="宋体" w:cs="Arial"/>
          <w:color w:val="1F2329"/>
          <w:szCs w:val="21"/>
        </w:rPr>
        <w:t>凭用户名和密码登录系统进行有关操作（包含但不限于物流交接），均视为</w:t>
      </w:r>
      <w:r>
        <w:rPr>
          <w:rFonts w:hint="eastAsia" w:ascii="宋体" w:hAnsi="宋体" w:eastAsia="宋体" w:cs="Arial"/>
          <w:color w:val="1F2329"/>
          <w:szCs w:val="21"/>
        </w:rPr>
        <w:t>乙方</w:t>
      </w:r>
      <w:r>
        <w:rPr>
          <w:rFonts w:ascii="宋体" w:hAnsi="宋体" w:eastAsia="宋体" w:cs="Arial"/>
          <w:color w:val="1F2329"/>
          <w:szCs w:val="21"/>
        </w:rPr>
        <w:t>行使相关业务操作权利，</w:t>
      </w:r>
      <w:r>
        <w:rPr>
          <w:rFonts w:hint="eastAsia" w:ascii="宋体" w:hAnsi="宋体" w:eastAsia="宋体" w:cs="Arial"/>
          <w:color w:val="1F2329"/>
          <w:szCs w:val="21"/>
        </w:rPr>
        <w:t>甲乙</w:t>
      </w:r>
      <w:r>
        <w:rPr>
          <w:rFonts w:ascii="宋体" w:hAnsi="宋体" w:eastAsia="宋体" w:cs="Arial"/>
          <w:color w:val="1F2329"/>
          <w:szCs w:val="21"/>
        </w:rPr>
        <w:t>双方确认该过程中无须再次签字确认。以上操作视为</w:t>
      </w:r>
      <w:r>
        <w:rPr>
          <w:rFonts w:hint="eastAsia" w:ascii="宋体" w:hAnsi="宋体" w:eastAsia="宋体" w:cs="Arial"/>
          <w:color w:val="1F2329"/>
          <w:szCs w:val="21"/>
        </w:rPr>
        <w:t>乙方</w:t>
      </w:r>
      <w:r>
        <w:rPr>
          <w:rFonts w:ascii="宋体" w:hAnsi="宋体" w:eastAsia="宋体" w:cs="Arial"/>
          <w:color w:val="1F2329"/>
          <w:szCs w:val="21"/>
        </w:rPr>
        <w:t>真实有效意思表示，</w:t>
      </w:r>
      <w:r>
        <w:rPr>
          <w:rFonts w:hint="eastAsia" w:ascii="宋体" w:hAnsi="宋体" w:eastAsia="宋体" w:cs="Arial"/>
          <w:color w:val="1F2329"/>
          <w:szCs w:val="21"/>
        </w:rPr>
        <w:t>乙方</w:t>
      </w:r>
      <w:r>
        <w:rPr>
          <w:rFonts w:ascii="宋体" w:hAnsi="宋体" w:eastAsia="宋体" w:cs="Arial"/>
          <w:color w:val="1F2329"/>
          <w:szCs w:val="21"/>
        </w:rPr>
        <w:t>对操作内容予以确认和认可。</w:t>
      </w:r>
    </w:p>
    <w:p w14:paraId="7C92FFD4">
      <w:pPr>
        <w:pStyle w:val="4"/>
        <w:numPr>
          <w:ilvl w:val="1"/>
          <w:numId w:val="4"/>
        </w:numPr>
        <w:spacing w:before="120" w:after="120" w:line="288" w:lineRule="auto"/>
        <w:ind w:firstLineChars="0"/>
        <w:jc w:val="left"/>
        <w:rPr>
          <w:rFonts w:ascii="宋体" w:hAnsi="宋体" w:eastAsia="宋体" w:cs="Arial"/>
          <w:color w:val="1F2329"/>
          <w:szCs w:val="21"/>
        </w:rPr>
      </w:pPr>
      <w:r>
        <w:rPr>
          <w:rFonts w:hint="eastAsia" w:ascii="宋体" w:hAnsi="宋体" w:eastAsia="宋体" w:cs="Arial"/>
          <w:color w:val="1F2329"/>
          <w:szCs w:val="21"/>
        </w:rPr>
        <w:t>未经甲方</w:t>
      </w:r>
      <w:r>
        <w:rPr>
          <w:rFonts w:ascii="宋体" w:hAnsi="宋体" w:eastAsia="宋体" w:cs="Arial"/>
          <w:color w:val="1F2329"/>
          <w:szCs w:val="21"/>
        </w:rPr>
        <w:t>事先书面同意，</w:t>
      </w:r>
      <w:r>
        <w:rPr>
          <w:rFonts w:hint="eastAsia" w:ascii="宋体" w:hAnsi="宋体" w:eastAsia="宋体" w:cs="Arial"/>
          <w:color w:val="1F2329"/>
          <w:szCs w:val="21"/>
        </w:rPr>
        <w:t>乙方</w:t>
      </w:r>
      <w:r>
        <w:rPr>
          <w:rFonts w:ascii="宋体" w:hAnsi="宋体" w:eastAsia="宋体" w:cs="Arial"/>
          <w:color w:val="1F2329"/>
          <w:szCs w:val="21"/>
        </w:rPr>
        <w:t>不得转让或让与本协议的全部或部分内容。如未获得该等同意而试图通过主动行为或依法转让本协议的全部或任何部分内容，</w:t>
      </w:r>
      <w:r>
        <w:rPr>
          <w:rFonts w:hint="eastAsia" w:ascii="宋体" w:hAnsi="宋体" w:eastAsia="宋体" w:cs="Arial"/>
          <w:color w:val="1F2329"/>
          <w:szCs w:val="21"/>
        </w:rPr>
        <w:t>甲方</w:t>
      </w:r>
      <w:r>
        <w:rPr>
          <w:rFonts w:ascii="宋体" w:hAnsi="宋体" w:eastAsia="宋体" w:cs="Arial"/>
          <w:color w:val="1F2329"/>
          <w:szCs w:val="21"/>
        </w:rPr>
        <w:t>可单方解除本合同，同时，</w:t>
      </w:r>
      <w:r>
        <w:rPr>
          <w:rFonts w:hint="eastAsia" w:ascii="宋体" w:hAnsi="宋体" w:eastAsia="宋体" w:cs="Arial"/>
          <w:color w:val="1F2329"/>
          <w:szCs w:val="21"/>
        </w:rPr>
        <w:t>乙方</w:t>
      </w:r>
      <w:r>
        <w:rPr>
          <w:rFonts w:ascii="宋体" w:hAnsi="宋体" w:eastAsia="宋体" w:cs="Arial"/>
          <w:color w:val="1F2329"/>
          <w:szCs w:val="21"/>
        </w:rPr>
        <w:t>应对</w:t>
      </w:r>
      <w:r>
        <w:rPr>
          <w:rFonts w:hint="eastAsia" w:ascii="宋体" w:hAnsi="宋体" w:eastAsia="宋体" w:cs="Arial"/>
          <w:color w:val="1F2329"/>
          <w:szCs w:val="21"/>
        </w:rPr>
        <w:t>受让方</w:t>
      </w:r>
      <w:r>
        <w:rPr>
          <w:rFonts w:ascii="宋体" w:hAnsi="宋体" w:eastAsia="宋体" w:cs="Arial"/>
          <w:color w:val="1F2329"/>
          <w:szCs w:val="21"/>
        </w:rPr>
        <w:t>的</w:t>
      </w:r>
      <w:r>
        <w:rPr>
          <w:rFonts w:hint="eastAsia" w:ascii="宋体" w:hAnsi="宋体" w:eastAsia="宋体" w:cs="Arial"/>
          <w:color w:val="1F2329"/>
          <w:szCs w:val="21"/>
        </w:rPr>
        <w:t>任何</w:t>
      </w:r>
      <w:r>
        <w:rPr>
          <w:rFonts w:ascii="宋体" w:hAnsi="宋体" w:eastAsia="宋体" w:cs="Arial"/>
          <w:color w:val="1F2329"/>
          <w:szCs w:val="21"/>
        </w:rPr>
        <w:t>行为向</w:t>
      </w:r>
      <w:r>
        <w:rPr>
          <w:rFonts w:hint="eastAsia" w:ascii="宋体" w:hAnsi="宋体" w:eastAsia="宋体" w:cs="Arial"/>
          <w:color w:val="1F2329"/>
          <w:szCs w:val="21"/>
        </w:rPr>
        <w:t>甲方</w:t>
      </w:r>
      <w:r>
        <w:rPr>
          <w:rFonts w:ascii="宋体" w:hAnsi="宋体" w:eastAsia="宋体" w:cs="Arial"/>
          <w:color w:val="1F2329"/>
          <w:szCs w:val="21"/>
        </w:rPr>
        <w:t>承担</w:t>
      </w:r>
      <w:r>
        <w:rPr>
          <w:rFonts w:hint="eastAsia" w:ascii="宋体" w:hAnsi="宋体" w:eastAsia="宋体" w:cs="Arial"/>
          <w:color w:val="1F2329"/>
          <w:szCs w:val="21"/>
        </w:rPr>
        <w:t>连带</w:t>
      </w:r>
      <w:r>
        <w:rPr>
          <w:rFonts w:ascii="宋体" w:hAnsi="宋体" w:eastAsia="宋体" w:cs="Arial"/>
          <w:color w:val="1F2329"/>
          <w:szCs w:val="21"/>
        </w:rPr>
        <w:t>责任</w:t>
      </w:r>
      <w:r>
        <w:rPr>
          <w:rFonts w:hint="eastAsia" w:ascii="宋体" w:hAnsi="宋体" w:eastAsia="宋体" w:cs="Arial"/>
          <w:color w:val="1F2329"/>
          <w:szCs w:val="21"/>
        </w:rPr>
        <w:t>。</w:t>
      </w:r>
      <w:r>
        <w:rPr>
          <w:rFonts w:ascii="宋体" w:hAnsi="宋体" w:eastAsia="宋体" w:cs="Arial"/>
          <w:color w:val="1F2329"/>
          <w:szCs w:val="21"/>
        </w:rPr>
        <w:t>乙方必须始终对乙方或乙方聘用的任何分包商库存中的所有车辆尽到合理适当的注意义务。</w:t>
      </w:r>
      <w:r>
        <w:rPr>
          <w:rFonts w:hint="eastAsia" w:ascii="宋体" w:hAnsi="宋体" w:eastAsia="宋体" w:cs="Times New Roman"/>
          <w:kern w:val="0"/>
          <w:szCs w:val="21"/>
        </w:rPr>
        <w:t>当乙方运力需求无法满足甲方的运营时效要求时，甲方可对运输计划重新分配至除乙方外的其他第三承运人（包括但不限于与</w:t>
      </w:r>
      <w:r>
        <w:rPr>
          <w:rFonts w:hint="eastAsia" w:ascii="宋体" w:hAnsi="宋体" w:eastAsia="宋体" w:cs="Arial"/>
          <w:color w:val="1F2329"/>
          <w:szCs w:val="21"/>
        </w:rPr>
        <w:t>安吉远海滚装运输（上海）有限公司</w:t>
      </w:r>
      <w:r>
        <w:rPr>
          <w:rFonts w:hint="eastAsia" w:ascii="宋体" w:hAnsi="宋体" w:eastAsia="宋体" w:cs="Times New Roman"/>
          <w:kern w:val="0"/>
          <w:szCs w:val="21"/>
        </w:rPr>
        <w:t>缔约的整车物流服务商、特殊运输及远程交付服务商等），线路运费的差价由乙方承担，乙方对此无任何异议，同时乙方的运力需求由甲方进行评估确认。</w:t>
      </w:r>
    </w:p>
    <w:p w14:paraId="6335E13B">
      <w:pPr>
        <w:pStyle w:val="4"/>
        <w:numPr>
          <w:ilvl w:val="1"/>
          <w:numId w:val="4"/>
        </w:numPr>
        <w:spacing w:before="120" w:after="120" w:line="288" w:lineRule="auto"/>
        <w:ind w:firstLineChars="0"/>
        <w:jc w:val="left"/>
        <w:rPr>
          <w:rFonts w:ascii="宋体" w:hAnsi="宋体" w:eastAsia="宋体" w:cs="Arial"/>
          <w:color w:val="1F2329"/>
          <w:szCs w:val="21"/>
        </w:rPr>
      </w:pPr>
      <w:r>
        <w:rPr>
          <w:rFonts w:ascii="宋体" w:hAnsi="宋体" w:eastAsia="宋体" w:cs="Arial"/>
          <w:color w:val="1F2329"/>
          <w:szCs w:val="21"/>
        </w:rPr>
        <w:t>如果经</w:t>
      </w:r>
      <w:r>
        <w:rPr>
          <w:rFonts w:hint="eastAsia" w:ascii="宋体" w:hAnsi="宋体" w:eastAsia="宋体" w:cs="Arial"/>
          <w:color w:val="1F2329"/>
          <w:szCs w:val="21"/>
        </w:rPr>
        <w:t>甲方</w:t>
      </w:r>
      <w:r>
        <w:rPr>
          <w:rFonts w:ascii="宋体" w:hAnsi="宋体" w:eastAsia="宋体" w:cs="Arial"/>
          <w:color w:val="1F2329"/>
          <w:szCs w:val="21"/>
        </w:rPr>
        <w:t>书面同意由</w:t>
      </w:r>
      <w:r>
        <w:rPr>
          <w:rFonts w:hint="eastAsia" w:ascii="宋体" w:hAnsi="宋体" w:eastAsia="宋体" w:cs="Arial"/>
          <w:color w:val="1F2329"/>
          <w:szCs w:val="21"/>
        </w:rPr>
        <w:t>乙方</w:t>
      </w:r>
      <w:r>
        <w:rPr>
          <w:rFonts w:ascii="宋体" w:hAnsi="宋体" w:eastAsia="宋体" w:cs="Arial"/>
          <w:color w:val="1F2329"/>
          <w:szCs w:val="21"/>
        </w:rPr>
        <w:t>的分、子公司及其他分包公司履约的，由</w:t>
      </w:r>
      <w:r>
        <w:rPr>
          <w:rFonts w:hint="eastAsia" w:ascii="宋体" w:hAnsi="宋体" w:eastAsia="宋体" w:cs="Arial"/>
          <w:color w:val="1F2329"/>
          <w:szCs w:val="21"/>
        </w:rPr>
        <w:t>乙方</w:t>
      </w:r>
      <w:r>
        <w:rPr>
          <w:rFonts w:ascii="宋体" w:hAnsi="宋体" w:eastAsia="宋体" w:cs="Arial"/>
          <w:color w:val="1F2329"/>
          <w:szCs w:val="21"/>
        </w:rPr>
        <w:t>承担全部</w:t>
      </w:r>
      <w:r>
        <w:rPr>
          <w:rFonts w:hint="eastAsia" w:ascii="宋体" w:hAnsi="宋体" w:eastAsia="宋体" w:cs="Arial"/>
          <w:color w:val="1F2329"/>
          <w:szCs w:val="21"/>
        </w:rPr>
        <w:t>连带</w:t>
      </w:r>
      <w:r>
        <w:rPr>
          <w:rFonts w:ascii="宋体" w:hAnsi="宋体" w:eastAsia="宋体" w:cs="Arial"/>
          <w:color w:val="1F2329"/>
          <w:szCs w:val="21"/>
        </w:rPr>
        <w:t>责任。但是</w:t>
      </w:r>
      <w:r>
        <w:rPr>
          <w:rFonts w:hint="eastAsia" w:ascii="宋体" w:hAnsi="宋体" w:eastAsia="宋体" w:cs="Arial"/>
          <w:color w:val="1F2329"/>
          <w:szCs w:val="21"/>
        </w:rPr>
        <w:t>甲方</w:t>
      </w:r>
      <w:r>
        <w:rPr>
          <w:rFonts w:ascii="宋体" w:hAnsi="宋体" w:eastAsia="宋体" w:cs="Arial"/>
          <w:color w:val="1F2329"/>
          <w:szCs w:val="21"/>
        </w:rPr>
        <w:t>经事先通知</w:t>
      </w:r>
      <w:r>
        <w:rPr>
          <w:rFonts w:hint="eastAsia" w:ascii="宋体" w:hAnsi="宋体" w:eastAsia="宋体" w:cs="Arial"/>
          <w:color w:val="1F2329"/>
          <w:szCs w:val="21"/>
        </w:rPr>
        <w:t>乙方</w:t>
      </w:r>
      <w:r>
        <w:rPr>
          <w:rFonts w:ascii="宋体" w:hAnsi="宋体" w:eastAsia="宋体" w:cs="Arial"/>
          <w:color w:val="1F2329"/>
          <w:szCs w:val="21"/>
        </w:rPr>
        <w:t>，可以在法律允许的范围内根据</w:t>
      </w:r>
      <w:r>
        <w:rPr>
          <w:rFonts w:hint="eastAsia" w:ascii="宋体" w:hAnsi="宋体" w:eastAsia="宋体" w:cs="Arial"/>
          <w:color w:val="1F2329"/>
          <w:szCs w:val="21"/>
        </w:rPr>
        <w:t>甲方</w:t>
      </w:r>
      <w:r>
        <w:rPr>
          <w:rFonts w:ascii="宋体" w:hAnsi="宋体" w:eastAsia="宋体" w:cs="Arial"/>
          <w:color w:val="1F2329"/>
          <w:szCs w:val="21"/>
        </w:rPr>
        <w:t>的经营需要将本协议项下部分或全部事项转让或委托予</w:t>
      </w:r>
      <w:r>
        <w:rPr>
          <w:rFonts w:hint="eastAsia" w:ascii="宋体" w:hAnsi="宋体" w:eastAsia="宋体" w:cs="Arial"/>
          <w:color w:val="1F2329"/>
          <w:szCs w:val="21"/>
        </w:rPr>
        <w:t>甲方</w:t>
      </w:r>
      <w:r>
        <w:rPr>
          <w:rFonts w:ascii="宋体" w:hAnsi="宋体" w:eastAsia="宋体" w:cs="Arial"/>
          <w:color w:val="1F2329"/>
          <w:szCs w:val="21"/>
        </w:rPr>
        <w:t>的关联方实施。该等转让或委托安排不影响</w:t>
      </w:r>
      <w:r>
        <w:rPr>
          <w:rFonts w:hint="eastAsia" w:ascii="宋体" w:hAnsi="宋体" w:eastAsia="宋体" w:cs="Arial"/>
          <w:color w:val="1F2329"/>
          <w:szCs w:val="21"/>
        </w:rPr>
        <w:t>乙方</w:t>
      </w:r>
      <w:r>
        <w:rPr>
          <w:rFonts w:ascii="宋体" w:hAnsi="宋体" w:eastAsia="宋体" w:cs="Arial"/>
          <w:color w:val="1F2329"/>
          <w:szCs w:val="21"/>
        </w:rPr>
        <w:t>履行本协议项下约定事项，</w:t>
      </w:r>
      <w:r>
        <w:rPr>
          <w:rFonts w:hint="eastAsia" w:ascii="宋体" w:hAnsi="宋体" w:eastAsia="宋体" w:cs="Arial"/>
          <w:color w:val="1F2329"/>
          <w:szCs w:val="21"/>
        </w:rPr>
        <w:t>乙方</w:t>
      </w:r>
      <w:r>
        <w:rPr>
          <w:rFonts w:ascii="宋体" w:hAnsi="宋体" w:eastAsia="宋体" w:cs="Arial"/>
          <w:color w:val="1F2329"/>
          <w:szCs w:val="21"/>
        </w:rPr>
        <w:t>同意根据</w:t>
      </w:r>
      <w:r>
        <w:rPr>
          <w:rFonts w:hint="eastAsia" w:ascii="宋体" w:hAnsi="宋体" w:eastAsia="宋体" w:cs="Arial"/>
          <w:color w:val="1F2329"/>
          <w:szCs w:val="21"/>
        </w:rPr>
        <w:t>甲方</w:t>
      </w:r>
      <w:r>
        <w:rPr>
          <w:rFonts w:ascii="宋体" w:hAnsi="宋体" w:eastAsia="宋体" w:cs="Arial"/>
          <w:color w:val="1F2329"/>
          <w:szCs w:val="21"/>
        </w:rPr>
        <w:t>通知的内容向</w:t>
      </w:r>
      <w:r>
        <w:rPr>
          <w:rFonts w:hint="eastAsia" w:ascii="宋体" w:hAnsi="宋体" w:eastAsia="宋体" w:cs="Arial"/>
          <w:color w:val="1F2329"/>
          <w:szCs w:val="21"/>
        </w:rPr>
        <w:t>甲方</w:t>
      </w:r>
      <w:r>
        <w:rPr>
          <w:rFonts w:ascii="宋体" w:hAnsi="宋体" w:eastAsia="宋体" w:cs="Arial"/>
          <w:color w:val="1F2329"/>
          <w:szCs w:val="21"/>
        </w:rPr>
        <w:t>或</w:t>
      </w:r>
      <w:r>
        <w:rPr>
          <w:rFonts w:hint="eastAsia" w:ascii="宋体" w:hAnsi="宋体" w:eastAsia="宋体" w:cs="Arial"/>
          <w:color w:val="1F2329"/>
          <w:szCs w:val="21"/>
        </w:rPr>
        <w:t>甲方</w:t>
      </w:r>
      <w:r>
        <w:rPr>
          <w:rFonts w:ascii="宋体" w:hAnsi="宋体" w:eastAsia="宋体" w:cs="Arial"/>
          <w:color w:val="1F2329"/>
          <w:szCs w:val="21"/>
        </w:rPr>
        <w:t>的关联方履行本协议项下的权利义务。若</w:t>
      </w:r>
      <w:r>
        <w:rPr>
          <w:rFonts w:hint="eastAsia" w:ascii="宋体" w:hAnsi="宋体" w:eastAsia="宋体" w:cs="Arial"/>
          <w:color w:val="1F2329"/>
          <w:szCs w:val="21"/>
        </w:rPr>
        <w:t>乙方</w:t>
      </w:r>
      <w:r>
        <w:rPr>
          <w:rFonts w:ascii="宋体" w:hAnsi="宋体" w:eastAsia="宋体" w:cs="Arial"/>
          <w:color w:val="1F2329"/>
          <w:szCs w:val="21"/>
        </w:rPr>
        <w:t>无法履约，</w:t>
      </w:r>
      <w:r>
        <w:rPr>
          <w:rFonts w:hint="eastAsia" w:ascii="宋体" w:hAnsi="宋体" w:eastAsia="宋体" w:cs="Arial"/>
          <w:color w:val="1F2329"/>
          <w:szCs w:val="21"/>
        </w:rPr>
        <w:t>甲方</w:t>
      </w:r>
      <w:r>
        <w:rPr>
          <w:rFonts w:ascii="宋体" w:hAnsi="宋体" w:eastAsia="宋体" w:cs="Arial"/>
          <w:color w:val="1F2329"/>
          <w:szCs w:val="21"/>
        </w:rPr>
        <w:t>有权将</w:t>
      </w:r>
      <w:r>
        <w:rPr>
          <w:rFonts w:hint="eastAsia" w:ascii="宋体" w:hAnsi="宋体" w:eastAsia="宋体" w:cs="Arial"/>
          <w:color w:val="1F2329"/>
          <w:szCs w:val="21"/>
        </w:rPr>
        <w:t>本协议约定的服务</w:t>
      </w:r>
      <w:r>
        <w:rPr>
          <w:rFonts w:ascii="宋体" w:hAnsi="宋体" w:eastAsia="宋体" w:cs="Arial"/>
          <w:color w:val="1F2329"/>
          <w:szCs w:val="21"/>
        </w:rPr>
        <w:t>委托给其他</w:t>
      </w:r>
      <w:r>
        <w:rPr>
          <w:rFonts w:hint="eastAsia" w:ascii="宋体" w:hAnsi="宋体" w:eastAsia="宋体" w:cs="Arial"/>
          <w:color w:val="1F2329"/>
          <w:szCs w:val="21"/>
        </w:rPr>
        <w:t>第三方</w:t>
      </w:r>
      <w:r>
        <w:rPr>
          <w:rFonts w:ascii="宋体" w:hAnsi="宋体" w:eastAsia="宋体" w:cs="Arial"/>
          <w:color w:val="1F2329"/>
          <w:szCs w:val="21"/>
        </w:rPr>
        <w:t>。</w:t>
      </w:r>
    </w:p>
    <w:p w14:paraId="1B1418D5">
      <w:pPr>
        <w:pStyle w:val="4"/>
        <w:numPr>
          <w:ilvl w:val="1"/>
          <w:numId w:val="4"/>
        </w:numPr>
        <w:spacing w:before="120" w:after="120" w:line="288" w:lineRule="auto"/>
        <w:ind w:firstLineChars="0"/>
        <w:jc w:val="left"/>
        <w:rPr>
          <w:rFonts w:ascii="宋体" w:hAnsi="宋体" w:eastAsia="宋体" w:cs="Arial"/>
          <w:color w:val="1F2329"/>
          <w:szCs w:val="21"/>
        </w:rPr>
      </w:pPr>
      <w:r>
        <w:rPr>
          <w:rFonts w:ascii="宋体" w:hAnsi="宋体" w:eastAsia="宋体" w:cs="Arial"/>
          <w:color w:val="1F2329"/>
          <w:szCs w:val="21"/>
        </w:rPr>
        <w:t>乙方因任何原因未能遵守并满足约定的履约标准，甲方有权向乙方任何作业地点指派甲方认为数量充足的甲方工作人员，以便为本协议范围内的乙方作业提供协助。乙方及其工作人员应尽全力遵循甲方工作人员关于本协议范围内的业务的指示。甲方的任何指示不得影响乙方安全作业，不得强令乙方人员冒险作业，不得危害乙方工作人员人身安全。为免生疑义，前述规定意味着乙方始终对作业和乙方员工享有最终决策权。乙方承诺，包括但不限于在乙方未开展本协议范围内的任何工作时向甲方工作人员提供出入权限。甲方无须就前述措施承担有关第三方或遵守任何当地法律法规的责任或义务。如甲方任何决定将侵犯第三方权利或与法律要求抵触，乙方应始终负责告知甲方及甲方工作人员。乙方承诺，其将遵守所有的政府法律法规，并将采取一切合理措施确保乙方就甲方相关业务聘用的任何分包商同样遵守前述法律法规。</w:t>
      </w:r>
    </w:p>
    <w:p w14:paraId="3F1FBFD7">
      <w:pPr>
        <w:pStyle w:val="4"/>
        <w:numPr>
          <w:ilvl w:val="1"/>
          <w:numId w:val="4"/>
        </w:numPr>
        <w:spacing w:before="120" w:after="120" w:line="288" w:lineRule="auto"/>
        <w:ind w:firstLineChars="0"/>
        <w:jc w:val="left"/>
        <w:rPr>
          <w:rFonts w:ascii="宋体" w:hAnsi="宋体" w:eastAsia="宋体" w:cs="Arial"/>
          <w:color w:val="1F2329"/>
          <w:szCs w:val="21"/>
        </w:rPr>
      </w:pPr>
      <w:r>
        <w:rPr>
          <w:rFonts w:hint="eastAsia" w:ascii="宋体" w:hAnsi="宋体" w:eastAsia="宋体" w:cs="Arial"/>
          <w:color w:val="1F2329"/>
          <w:szCs w:val="21"/>
        </w:rPr>
        <w:t>乙方</w:t>
      </w:r>
      <w:r>
        <w:rPr>
          <w:rFonts w:ascii="宋体" w:hAnsi="宋体" w:eastAsia="宋体" w:cs="Arial"/>
          <w:color w:val="1F2329"/>
          <w:szCs w:val="21"/>
        </w:rPr>
        <w:t xml:space="preserve">应获得开展本协议拟定的工作或履行本协议拟定的义务可能需要的任何政府或准政府批准。 </w:t>
      </w:r>
    </w:p>
    <w:p w14:paraId="080C7832">
      <w:pPr>
        <w:pStyle w:val="4"/>
        <w:numPr>
          <w:ilvl w:val="1"/>
          <w:numId w:val="4"/>
        </w:numPr>
        <w:spacing w:before="120" w:after="120" w:line="288" w:lineRule="auto"/>
        <w:ind w:firstLineChars="0"/>
        <w:jc w:val="left"/>
        <w:rPr>
          <w:rFonts w:ascii="宋体" w:hAnsi="宋体" w:eastAsia="宋体" w:cs="Arial"/>
          <w:color w:val="1F2329"/>
          <w:szCs w:val="21"/>
        </w:rPr>
      </w:pPr>
      <w:r>
        <w:rPr>
          <w:rFonts w:ascii="宋体" w:hAnsi="宋体" w:eastAsia="宋体" w:cs="Arial"/>
          <w:color w:val="1F2329"/>
          <w:szCs w:val="21"/>
        </w:rPr>
        <w:t>乙方承诺遵守技术要求文件中关于指定收货人的规定。乙方知悉甲方运输产品的性质，乙方保证采取合法合理的措施进行操作和处理。</w:t>
      </w:r>
    </w:p>
    <w:p w14:paraId="7ECC0F96">
      <w:pPr>
        <w:pStyle w:val="4"/>
        <w:numPr>
          <w:ilvl w:val="1"/>
          <w:numId w:val="4"/>
        </w:numPr>
        <w:spacing w:before="120" w:after="120" w:line="288" w:lineRule="auto"/>
        <w:ind w:firstLineChars="0"/>
        <w:jc w:val="left"/>
        <w:rPr>
          <w:rFonts w:ascii="宋体" w:hAnsi="宋体" w:eastAsia="宋体" w:cs="Arial"/>
          <w:color w:val="1F2329"/>
          <w:szCs w:val="21"/>
        </w:rPr>
      </w:pPr>
      <w:r>
        <w:rPr>
          <w:rFonts w:ascii="宋体" w:hAnsi="宋体" w:eastAsia="宋体" w:cs="Arial"/>
          <w:color w:val="1F2329"/>
          <w:szCs w:val="21"/>
        </w:rPr>
        <w:t>无论双方合作是否终止，乙方针对本协议进行的一切准备工作以及人力物力财力的投资均由乙方自行负担，甲方不对此承担任何责任。</w:t>
      </w:r>
    </w:p>
    <w:p w14:paraId="5756B2D5">
      <w:pPr>
        <w:pStyle w:val="4"/>
        <w:numPr>
          <w:ilvl w:val="1"/>
          <w:numId w:val="4"/>
        </w:numPr>
        <w:spacing w:before="120" w:after="120" w:line="288" w:lineRule="auto"/>
        <w:ind w:firstLineChars="0"/>
        <w:jc w:val="left"/>
        <w:rPr>
          <w:rFonts w:ascii="宋体" w:hAnsi="宋体" w:eastAsia="宋体" w:cs="Arial"/>
          <w:color w:val="1F2329"/>
          <w:szCs w:val="21"/>
        </w:rPr>
      </w:pPr>
      <w:r>
        <w:rPr>
          <w:rFonts w:ascii="宋体" w:hAnsi="宋体" w:eastAsia="宋体" w:cs="Arial"/>
          <w:color w:val="1F2329"/>
          <w:szCs w:val="21"/>
        </w:rPr>
        <w:t>双方应各自独立承担应支付给政府的相关款项（包括但不限于税费等）。</w:t>
      </w:r>
    </w:p>
    <w:p w14:paraId="232D5EF6">
      <w:pPr>
        <w:spacing w:before="120" w:after="120" w:line="288" w:lineRule="auto"/>
        <w:jc w:val="left"/>
        <w:rPr>
          <w:rFonts w:ascii="宋体" w:hAnsi="宋体" w:eastAsia="宋体"/>
          <w:szCs w:val="21"/>
        </w:rPr>
      </w:pPr>
    </w:p>
    <w:p w14:paraId="1ABAEDEA">
      <w:pPr>
        <w:pStyle w:val="4"/>
        <w:numPr>
          <w:ilvl w:val="0"/>
          <w:numId w:val="1"/>
        </w:numPr>
        <w:spacing w:before="120" w:after="120" w:line="288" w:lineRule="auto"/>
        <w:ind w:firstLineChars="0"/>
        <w:jc w:val="left"/>
        <w:rPr>
          <w:rFonts w:ascii="宋体" w:hAnsi="宋体" w:eastAsia="宋体"/>
          <w:b/>
          <w:szCs w:val="21"/>
        </w:rPr>
      </w:pPr>
      <w:r>
        <w:rPr>
          <w:rFonts w:hint="eastAsia" w:ascii="宋体" w:hAnsi="宋体" w:eastAsia="宋体"/>
          <w:b/>
          <w:szCs w:val="21"/>
        </w:rPr>
        <w:t>甲方的一般权利和义务</w:t>
      </w:r>
    </w:p>
    <w:p w14:paraId="0F03B115">
      <w:pPr>
        <w:pStyle w:val="4"/>
        <w:numPr>
          <w:ilvl w:val="1"/>
          <w:numId w:val="5"/>
        </w:numPr>
        <w:spacing w:before="120" w:after="120" w:line="288" w:lineRule="auto"/>
        <w:ind w:firstLineChars="0"/>
        <w:jc w:val="left"/>
        <w:rPr>
          <w:rFonts w:ascii="宋体" w:hAnsi="宋体" w:eastAsia="宋体" w:cs="Arial"/>
          <w:color w:val="1F2329"/>
          <w:szCs w:val="21"/>
        </w:rPr>
      </w:pPr>
      <w:r>
        <w:rPr>
          <w:rFonts w:ascii="宋体" w:hAnsi="宋体" w:eastAsia="宋体" w:cs="Arial"/>
          <w:color w:val="1F2329"/>
          <w:szCs w:val="21"/>
        </w:rPr>
        <w:t>甲方谨此聘用乙方在本协议规定的期限内根据本协议的条款和条件履行约定服务。</w:t>
      </w:r>
    </w:p>
    <w:p w14:paraId="49D83074">
      <w:pPr>
        <w:pStyle w:val="4"/>
        <w:numPr>
          <w:ilvl w:val="1"/>
          <w:numId w:val="5"/>
        </w:numPr>
        <w:spacing w:before="120" w:after="120" w:line="288" w:lineRule="auto"/>
        <w:ind w:firstLineChars="0"/>
        <w:jc w:val="left"/>
        <w:rPr>
          <w:rFonts w:ascii="宋体" w:hAnsi="宋体" w:eastAsia="宋体" w:cs="Arial"/>
          <w:color w:val="1F2329"/>
          <w:szCs w:val="21"/>
        </w:rPr>
      </w:pPr>
      <w:r>
        <w:rPr>
          <w:rFonts w:ascii="宋体" w:hAnsi="宋体" w:eastAsia="宋体" w:cs="Arial"/>
          <w:color w:val="1F2329"/>
          <w:szCs w:val="21"/>
        </w:rPr>
        <w:t>甲方谨此聘用乙方履行双方不定期约定的其他服务，前提是相关服务在质量、时间和成本方面具有竞争力。</w:t>
      </w:r>
    </w:p>
    <w:p w14:paraId="71CAB88B">
      <w:pPr>
        <w:pStyle w:val="4"/>
        <w:numPr>
          <w:ilvl w:val="1"/>
          <w:numId w:val="5"/>
        </w:numPr>
        <w:spacing w:before="120" w:after="120" w:line="288" w:lineRule="auto"/>
        <w:ind w:firstLineChars="0"/>
        <w:jc w:val="left"/>
        <w:rPr>
          <w:rFonts w:ascii="宋体" w:hAnsi="宋体" w:eastAsia="宋体" w:cs="Arial"/>
          <w:color w:val="1F2329"/>
          <w:szCs w:val="21"/>
        </w:rPr>
      </w:pPr>
      <w:r>
        <w:rPr>
          <w:rFonts w:ascii="宋体" w:hAnsi="宋体" w:eastAsia="宋体" w:cs="Arial"/>
          <w:color w:val="1F2329"/>
          <w:szCs w:val="21"/>
        </w:rPr>
        <w:t>甲方将采取合理措施，确定本协议下向乙方传达的所有信息完整、准确。</w:t>
      </w:r>
    </w:p>
    <w:p w14:paraId="2604E41F">
      <w:pPr>
        <w:pStyle w:val="4"/>
        <w:numPr>
          <w:ilvl w:val="1"/>
          <w:numId w:val="5"/>
        </w:numPr>
        <w:spacing w:before="120" w:after="120" w:line="288" w:lineRule="auto"/>
        <w:ind w:firstLineChars="0"/>
        <w:jc w:val="left"/>
        <w:rPr>
          <w:rFonts w:ascii="宋体" w:hAnsi="宋体" w:eastAsia="宋体" w:cs="Arial"/>
          <w:color w:val="1F2329"/>
          <w:szCs w:val="21"/>
        </w:rPr>
      </w:pPr>
      <w:r>
        <w:rPr>
          <w:rFonts w:ascii="宋体" w:hAnsi="宋体" w:eastAsia="宋体" w:cs="Arial"/>
          <w:color w:val="1F2329"/>
          <w:szCs w:val="21"/>
        </w:rPr>
        <w:t>乙方需按照</w:t>
      </w:r>
      <w:r>
        <w:rPr>
          <w:rFonts w:hint="eastAsia" w:ascii="宋体" w:hAnsi="宋体" w:eastAsia="宋体" w:cs="Arial"/>
          <w:color w:val="1F2329"/>
          <w:szCs w:val="21"/>
        </w:rPr>
        <w:t>附件</w:t>
      </w:r>
      <w:r>
        <w:rPr>
          <w:rFonts w:ascii="宋体" w:hAnsi="宋体" w:eastAsia="宋体" w:cs="Arial"/>
          <w:color w:val="1F2329"/>
          <w:szCs w:val="21"/>
        </w:rPr>
        <w:t>技术要求中</w:t>
      </w:r>
      <w:r>
        <w:rPr>
          <w:rFonts w:hint="eastAsia" w:ascii="宋体" w:hAnsi="宋体" w:eastAsia="宋体" w:cs="Arial"/>
          <w:color w:val="1F2329"/>
          <w:szCs w:val="21"/>
        </w:rPr>
        <w:t>的</w:t>
      </w:r>
      <w:r>
        <w:rPr>
          <w:rFonts w:ascii="宋体" w:hAnsi="宋体" w:eastAsia="宋体" w:cs="Arial"/>
          <w:color w:val="1F2329"/>
          <w:szCs w:val="21"/>
        </w:rPr>
        <w:t>描述完成相关服务，甲方</w:t>
      </w:r>
      <w:r>
        <w:rPr>
          <w:rFonts w:hint="eastAsia" w:ascii="宋体" w:hAnsi="宋体" w:eastAsia="宋体" w:cs="Arial"/>
          <w:color w:val="1F2329"/>
          <w:szCs w:val="21"/>
        </w:rPr>
        <w:t>定期</w:t>
      </w:r>
      <w:r>
        <w:rPr>
          <w:rFonts w:ascii="宋体" w:hAnsi="宋体" w:eastAsia="宋体" w:cs="Arial"/>
          <w:color w:val="1F2329"/>
          <w:szCs w:val="21"/>
        </w:rPr>
        <w:t>根据</w:t>
      </w:r>
      <w:r>
        <w:rPr>
          <w:rFonts w:hint="eastAsia" w:ascii="宋体" w:hAnsi="宋体" w:eastAsia="宋体" w:cs="Arial"/>
          <w:color w:val="1F2329"/>
          <w:szCs w:val="21"/>
        </w:rPr>
        <w:t>附件绩效考核指标</w:t>
      </w:r>
      <w:r>
        <w:rPr>
          <w:rFonts w:ascii="宋体" w:hAnsi="宋体" w:eastAsia="宋体" w:cs="Arial"/>
          <w:color w:val="1F2329"/>
          <w:szCs w:val="21"/>
        </w:rPr>
        <w:t>对乙方进行考评</w:t>
      </w:r>
      <w:r>
        <w:rPr>
          <w:rFonts w:hint="eastAsia" w:ascii="宋体" w:hAnsi="宋体" w:eastAsia="宋体" w:cs="Arial"/>
          <w:color w:val="1F2329"/>
          <w:szCs w:val="21"/>
        </w:rPr>
        <w:t>及处罚或解除同乙方的所有合作关系。</w:t>
      </w:r>
    </w:p>
    <w:p w14:paraId="5E83C521">
      <w:pPr>
        <w:pStyle w:val="4"/>
        <w:numPr>
          <w:ilvl w:val="1"/>
          <w:numId w:val="5"/>
        </w:numPr>
        <w:spacing w:before="120" w:after="120" w:line="288" w:lineRule="auto"/>
        <w:ind w:firstLineChars="0"/>
        <w:jc w:val="left"/>
        <w:rPr>
          <w:rFonts w:ascii="宋体" w:hAnsi="宋体" w:eastAsia="宋体" w:cs="Arial"/>
          <w:color w:val="1F2329"/>
          <w:szCs w:val="21"/>
        </w:rPr>
      </w:pPr>
      <w:r>
        <w:rPr>
          <w:rFonts w:ascii="宋体" w:hAnsi="宋体" w:eastAsia="宋体" w:cs="Arial"/>
          <w:color w:val="1F2329"/>
          <w:szCs w:val="21"/>
        </w:rPr>
        <w:t>甲方应按照协议约定规定时间节点支付乙方服务费用。</w:t>
      </w:r>
    </w:p>
    <w:p w14:paraId="342D05A5">
      <w:pPr>
        <w:spacing w:before="120" w:after="120" w:line="288" w:lineRule="auto"/>
        <w:jc w:val="left"/>
        <w:rPr>
          <w:rFonts w:ascii="宋体" w:hAnsi="宋体" w:eastAsia="宋体"/>
          <w:b/>
          <w:szCs w:val="21"/>
        </w:rPr>
      </w:pPr>
    </w:p>
    <w:p w14:paraId="0DCA1A2F">
      <w:pPr>
        <w:pStyle w:val="4"/>
        <w:numPr>
          <w:ilvl w:val="0"/>
          <w:numId w:val="1"/>
        </w:numPr>
        <w:spacing w:before="120" w:after="120" w:line="288" w:lineRule="auto"/>
        <w:ind w:firstLineChars="0"/>
        <w:jc w:val="left"/>
        <w:rPr>
          <w:rFonts w:ascii="宋体" w:hAnsi="宋体" w:eastAsia="宋体"/>
          <w:b/>
          <w:szCs w:val="21"/>
        </w:rPr>
      </w:pPr>
      <w:r>
        <w:rPr>
          <w:rFonts w:hint="eastAsia" w:ascii="宋体" w:hAnsi="宋体" w:eastAsia="宋体"/>
          <w:b/>
          <w:szCs w:val="21"/>
        </w:rPr>
        <w:t>服务价格及结算方式</w:t>
      </w:r>
    </w:p>
    <w:p w14:paraId="78F18729">
      <w:pPr>
        <w:pStyle w:val="4"/>
        <w:numPr>
          <w:ilvl w:val="1"/>
          <w:numId w:val="6"/>
        </w:numPr>
        <w:spacing w:before="120" w:after="120" w:line="288" w:lineRule="auto"/>
        <w:ind w:firstLineChars="0"/>
        <w:jc w:val="left"/>
        <w:rPr>
          <w:rFonts w:ascii="宋体" w:hAnsi="宋体" w:eastAsia="宋体" w:cs="Arial"/>
          <w:color w:val="1F2329"/>
          <w:szCs w:val="21"/>
        </w:rPr>
      </w:pPr>
      <w:r>
        <w:rPr>
          <w:rFonts w:hint="eastAsia" w:ascii="宋体" w:hAnsi="宋体" w:eastAsia="宋体" w:cs="Arial"/>
          <w:color w:val="1F2329"/>
          <w:szCs w:val="21"/>
        </w:rPr>
        <w:t>服务价格</w:t>
      </w:r>
    </w:p>
    <w:p w14:paraId="7F1798D8">
      <w:pPr>
        <w:pStyle w:val="4"/>
        <w:numPr>
          <w:ilvl w:val="2"/>
          <w:numId w:val="6"/>
        </w:numPr>
        <w:spacing w:before="120" w:after="120" w:line="288" w:lineRule="auto"/>
        <w:ind w:firstLineChars="0"/>
        <w:jc w:val="left"/>
        <w:rPr>
          <w:rFonts w:ascii="宋体" w:hAnsi="宋体" w:eastAsia="宋体" w:cs="Arial"/>
          <w:color w:val="1F2329"/>
          <w:szCs w:val="21"/>
        </w:rPr>
      </w:pPr>
      <w:r>
        <w:rPr>
          <w:rFonts w:ascii="宋体" w:hAnsi="宋体" w:eastAsia="宋体" w:cs="Arial"/>
          <w:color w:val="1F2329"/>
          <w:szCs w:val="21"/>
        </w:rPr>
        <w:t>本协议附件</w:t>
      </w:r>
      <w:r>
        <w:rPr>
          <w:rFonts w:hint="eastAsia" w:ascii="宋体" w:hAnsi="宋体" w:eastAsia="宋体" w:cs="Arial"/>
          <w:color w:val="1F2329"/>
          <w:szCs w:val="21"/>
        </w:rPr>
        <w:t>报价表</w:t>
      </w:r>
      <w:r>
        <w:rPr>
          <w:rFonts w:ascii="宋体" w:hAnsi="宋体" w:eastAsia="宋体" w:cs="Arial"/>
          <w:color w:val="1F2329"/>
          <w:szCs w:val="21"/>
        </w:rPr>
        <w:t xml:space="preserve">规定了甲方应向乙方支付的约定服务价格。 </w:t>
      </w:r>
    </w:p>
    <w:p w14:paraId="03AC3233">
      <w:pPr>
        <w:pStyle w:val="4"/>
        <w:numPr>
          <w:ilvl w:val="2"/>
          <w:numId w:val="6"/>
        </w:numPr>
        <w:spacing w:before="120" w:after="120" w:line="288" w:lineRule="auto"/>
        <w:ind w:firstLineChars="0"/>
        <w:jc w:val="left"/>
        <w:rPr>
          <w:rFonts w:ascii="宋体" w:hAnsi="宋体" w:eastAsia="宋体" w:cs="Arial"/>
          <w:color w:val="1F2329"/>
          <w:szCs w:val="21"/>
        </w:rPr>
      </w:pPr>
      <w:r>
        <w:rPr>
          <w:rFonts w:ascii="宋体" w:hAnsi="宋体" w:eastAsia="宋体" w:cs="Arial"/>
          <w:color w:val="1F2329"/>
          <w:szCs w:val="21"/>
        </w:rPr>
        <w:t>附件</w:t>
      </w:r>
      <w:r>
        <w:rPr>
          <w:rFonts w:hint="eastAsia" w:ascii="宋体" w:hAnsi="宋体" w:eastAsia="宋体" w:cs="Arial"/>
          <w:color w:val="1F2329"/>
          <w:szCs w:val="21"/>
        </w:rPr>
        <w:t>报价表</w:t>
      </w:r>
      <w:r>
        <w:rPr>
          <w:rFonts w:ascii="宋体" w:hAnsi="宋体" w:eastAsia="宋体" w:cs="Arial"/>
          <w:color w:val="1F2329"/>
          <w:szCs w:val="21"/>
        </w:rPr>
        <w:t>中的价格以截至本协议</w:t>
      </w:r>
      <w:r>
        <w:rPr>
          <w:rFonts w:hint="eastAsia" w:ascii="宋体" w:hAnsi="宋体" w:eastAsia="宋体" w:cs="Arial"/>
          <w:color w:val="1F2329"/>
          <w:szCs w:val="21"/>
        </w:rPr>
        <w:t>签署</w:t>
      </w:r>
      <w:r>
        <w:rPr>
          <w:rFonts w:ascii="宋体" w:hAnsi="宋体" w:eastAsia="宋体" w:cs="Arial"/>
          <w:color w:val="1F2329"/>
          <w:szCs w:val="21"/>
        </w:rPr>
        <w:t>之日的当前相关情况以及本协议和相关附件中规定的条件为基础。在经过甲方和乙方书面同意后，可不定期修改该等情况和条件。</w:t>
      </w:r>
    </w:p>
    <w:p w14:paraId="3603C284">
      <w:pPr>
        <w:pStyle w:val="4"/>
        <w:numPr>
          <w:ilvl w:val="2"/>
          <w:numId w:val="6"/>
        </w:numPr>
        <w:spacing w:before="120" w:after="120" w:line="288" w:lineRule="auto"/>
        <w:ind w:firstLineChars="0"/>
        <w:jc w:val="left"/>
        <w:rPr>
          <w:rFonts w:ascii="宋体" w:hAnsi="宋体" w:eastAsia="宋体" w:cs="Arial"/>
          <w:color w:val="1F2329"/>
          <w:szCs w:val="21"/>
        </w:rPr>
      </w:pPr>
      <w:r>
        <w:rPr>
          <w:rFonts w:ascii="宋体" w:hAnsi="宋体" w:eastAsia="宋体" w:cs="Arial"/>
          <w:color w:val="1F2329"/>
          <w:szCs w:val="21"/>
        </w:rPr>
        <w:t>本协议期限内应适用附件</w:t>
      </w:r>
      <w:r>
        <w:rPr>
          <w:rFonts w:hint="eastAsia" w:ascii="宋体" w:hAnsi="宋体" w:eastAsia="宋体" w:cs="Arial"/>
          <w:color w:val="1F2329"/>
          <w:szCs w:val="21"/>
        </w:rPr>
        <w:t>报价表</w:t>
      </w:r>
      <w:r>
        <w:rPr>
          <w:rFonts w:ascii="宋体" w:hAnsi="宋体" w:eastAsia="宋体" w:cs="Arial"/>
          <w:color w:val="1F2329"/>
          <w:szCs w:val="21"/>
        </w:rPr>
        <w:t xml:space="preserve">中规定的价格，除非附件中另有规定。 </w:t>
      </w:r>
    </w:p>
    <w:p w14:paraId="3EFD6A0B">
      <w:pPr>
        <w:pStyle w:val="4"/>
        <w:numPr>
          <w:ilvl w:val="2"/>
          <w:numId w:val="6"/>
        </w:numPr>
        <w:spacing w:before="120" w:after="120" w:line="288" w:lineRule="auto"/>
        <w:ind w:firstLineChars="0"/>
        <w:jc w:val="left"/>
        <w:rPr>
          <w:rFonts w:ascii="宋体" w:hAnsi="宋体" w:eastAsia="宋体" w:cs="Arial"/>
          <w:color w:val="1F2329"/>
          <w:szCs w:val="21"/>
        </w:rPr>
      </w:pPr>
      <w:r>
        <w:rPr>
          <w:rFonts w:ascii="宋体" w:hAnsi="宋体" w:eastAsia="宋体" w:cs="Arial"/>
          <w:color w:val="1F2329"/>
          <w:szCs w:val="21"/>
        </w:rPr>
        <w:t>乙方同意不会提出任何经济索赔。“经济”是指由于当地或全国的材料成本、间接费用、工资支出等方面的变化产生的业务成本变动，但不包括因任何特殊项目（征税方式、税率、法律或其他监管要求的变化）导致乙方提供约定服务的成本变动。</w:t>
      </w:r>
    </w:p>
    <w:p w14:paraId="64CE03FA">
      <w:pPr>
        <w:pStyle w:val="4"/>
        <w:numPr>
          <w:ilvl w:val="1"/>
          <w:numId w:val="6"/>
        </w:numPr>
        <w:spacing w:before="120" w:after="120" w:line="288" w:lineRule="auto"/>
        <w:ind w:firstLineChars="0"/>
        <w:jc w:val="left"/>
        <w:rPr>
          <w:rFonts w:ascii="宋体" w:hAnsi="宋体" w:eastAsia="宋体" w:cs="Arial"/>
          <w:color w:val="1F2329"/>
          <w:szCs w:val="21"/>
        </w:rPr>
      </w:pPr>
      <w:r>
        <w:rPr>
          <w:rFonts w:hint="eastAsia" w:ascii="宋体" w:hAnsi="宋体" w:eastAsia="宋体" w:cs="Arial"/>
          <w:color w:val="1F2329"/>
          <w:szCs w:val="21"/>
        </w:rPr>
        <w:t>结算方式</w:t>
      </w:r>
    </w:p>
    <w:p w14:paraId="4A6E287C">
      <w:pPr>
        <w:pStyle w:val="4"/>
        <w:numPr>
          <w:ilvl w:val="2"/>
          <w:numId w:val="6"/>
        </w:numPr>
        <w:spacing w:before="120" w:after="120" w:line="288" w:lineRule="auto"/>
        <w:ind w:firstLineChars="0"/>
        <w:jc w:val="left"/>
        <w:rPr>
          <w:rFonts w:ascii="宋体" w:hAnsi="宋体" w:eastAsia="宋体"/>
          <w:szCs w:val="21"/>
        </w:rPr>
      </w:pPr>
      <w:r>
        <w:rPr>
          <w:rFonts w:ascii="宋体" w:hAnsi="宋体" w:eastAsia="宋体" w:cs="Arial"/>
          <w:color w:val="1F2329"/>
          <w:szCs w:val="21"/>
        </w:rPr>
        <w:t>乙方按照约定为甲方开具金额为约定服务价款的增值税专用发票。</w:t>
      </w:r>
    </w:p>
    <w:p w14:paraId="45BF36B8">
      <w:pPr>
        <w:pStyle w:val="4"/>
        <w:numPr>
          <w:ilvl w:val="2"/>
          <w:numId w:val="6"/>
        </w:numPr>
        <w:spacing w:before="120" w:after="120" w:line="288" w:lineRule="auto"/>
        <w:ind w:firstLineChars="0"/>
        <w:jc w:val="left"/>
        <w:rPr>
          <w:rFonts w:ascii="宋体" w:hAnsi="宋体" w:eastAsia="宋体"/>
          <w:szCs w:val="21"/>
        </w:rPr>
      </w:pPr>
      <w:r>
        <w:rPr>
          <w:rFonts w:ascii="宋体" w:hAnsi="宋体" w:eastAsia="宋体" w:cs="Arial"/>
          <w:color w:val="1F2329"/>
          <w:szCs w:val="21"/>
        </w:rPr>
        <w:t>乙方应向甲方提供发票，并提供服务费</w:t>
      </w:r>
      <w:r>
        <w:rPr>
          <w:rFonts w:hint="eastAsia" w:ascii="宋体" w:hAnsi="宋体" w:eastAsia="宋体" w:cs="Arial"/>
          <w:color w:val="1F2329"/>
          <w:szCs w:val="21"/>
        </w:rPr>
        <w:t>用</w:t>
      </w:r>
      <w:r>
        <w:rPr>
          <w:rFonts w:ascii="宋体" w:hAnsi="宋体" w:eastAsia="宋体" w:cs="Arial"/>
          <w:color w:val="1F2329"/>
          <w:szCs w:val="21"/>
        </w:rPr>
        <w:t>的明细列表。每月的服务费</w:t>
      </w:r>
      <w:r>
        <w:rPr>
          <w:rFonts w:hint="eastAsia" w:ascii="宋体" w:hAnsi="宋体" w:eastAsia="宋体" w:cs="Arial"/>
          <w:color w:val="1F2329"/>
          <w:szCs w:val="21"/>
        </w:rPr>
        <w:t>用</w:t>
      </w:r>
      <w:r>
        <w:rPr>
          <w:rFonts w:ascii="宋体" w:hAnsi="宋体" w:eastAsia="宋体" w:cs="Arial"/>
          <w:color w:val="1F2329"/>
          <w:szCs w:val="21"/>
        </w:rPr>
        <w:t>在乙方完成之后根据以下步骤进行结算：</w:t>
      </w:r>
    </w:p>
    <w:p w14:paraId="1ACDB00A">
      <w:pPr>
        <w:pStyle w:val="4"/>
        <w:numPr>
          <w:ilvl w:val="0"/>
          <w:numId w:val="7"/>
        </w:numPr>
        <w:spacing w:before="120" w:after="120" w:line="288" w:lineRule="auto"/>
        <w:ind w:firstLineChars="0"/>
        <w:jc w:val="left"/>
        <w:rPr>
          <w:rFonts w:ascii="宋体" w:hAnsi="宋体" w:eastAsia="宋体"/>
          <w:szCs w:val="21"/>
        </w:rPr>
      </w:pPr>
      <w:r>
        <w:rPr>
          <w:rFonts w:ascii="宋体" w:hAnsi="宋体" w:eastAsia="宋体" w:cs="Arial"/>
          <w:color w:val="1F2329"/>
          <w:szCs w:val="21"/>
        </w:rPr>
        <w:t xml:space="preserve">对账单：在D + 1个月的10日之前提交； </w:t>
      </w:r>
    </w:p>
    <w:p w14:paraId="1D148644">
      <w:pPr>
        <w:pStyle w:val="4"/>
        <w:numPr>
          <w:ilvl w:val="0"/>
          <w:numId w:val="7"/>
        </w:numPr>
        <w:spacing w:before="120" w:after="120" w:line="288" w:lineRule="auto"/>
        <w:ind w:firstLineChars="0"/>
        <w:jc w:val="left"/>
        <w:rPr>
          <w:rFonts w:ascii="宋体" w:hAnsi="宋体" w:eastAsia="宋体"/>
          <w:szCs w:val="21"/>
        </w:rPr>
      </w:pPr>
      <w:r>
        <w:rPr>
          <w:rFonts w:ascii="宋体" w:hAnsi="宋体" w:eastAsia="宋体" w:cs="Arial"/>
          <w:color w:val="1F2329"/>
          <w:szCs w:val="21"/>
        </w:rPr>
        <w:t xml:space="preserve">确认单盖章及发票开具：在D + 1个月，15日之前提交； </w:t>
      </w:r>
    </w:p>
    <w:p w14:paraId="53996957">
      <w:pPr>
        <w:pStyle w:val="4"/>
        <w:numPr>
          <w:ilvl w:val="0"/>
          <w:numId w:val="7"/>
        </w:numPr>
        <w:spacing w:before="120" w:after="120" w:line="288" w:lineRule="auto"/>
        <w:ind w:firstLineChars="0"/>
        <w:jc w:val="left"/>
        <w:rPr>
          <w:rFonts w:ascii="宋体" w:hAnsi="宋体" w:eastAsia="宋体"/>
          <w:szCs w:val="21"/>
        </w:rPr>
      </w:pPr>
      <w:r>
        <w:rPr>
          <w:rFonts w:ascii="宋体" w:hAnsi="宋体" w:eastAsia="宋体" w:cs="Arial"/>
          <w:color w:val="1F2329"/>
          <w:szCs w:val="21"/>
        </w:rPr>
        <w:t>问题发票：D + 1个月，30日之前；</w:t>
      </w:r>
    </w:p>
    <w:p w14:paraId="20F4FD2E">
      <w:pPr>
        <w:pStyle w:val="4"/>
        <w:numPr>
          <w:ilvl w:val="2"/>
          <w:numId w:val="6"/>
        </w:numPr>
        <w:spacing w:before="120" w:after="120" w:line="288" w:lineRule="auto"/>
        <w:ind w:firstLineChars="0"/>
        <w:jc w:val="left"/>
        <w:rPr>
          <w:rFonts w:ascii="宋体" w:hAnsi="宋体" w:eastAsia="宋体"/>
          <w:szCs w:val="21"/>
        </w:rPr>
      </w:pPr>
      <w:r>
        <w:rPr>
          <w:rFonts w:ascii="宋体" w:hAnsi="宋体" w:eastAsia="宋体" w:cs="Arial"/>
          <w:color w:val="1F2329"/>
          <w:szCs w:val="21"/>
        </w:rPr>
        <w:t>付款：收到合法有效正确的增值税专用发票后90天，电汇，异常情况将由</w:t>
      </w:r>
      <w:r>
        <w:rPr>
          <w:rFonts w:hint="eastAsia" w:ascii="宋体" w:hAnsi="宋体" w:eastAsia="宋体" w:cs="Arial"/>
          <w:color w:val="1F2329"/>
          <w:szCs w:val="21"/>
        </w:rPr>
        <w:t>安吉远海滚装运输（上海）有限公司</w:t>
      </w:r>
      <w:r>
        <w:rPr>
          <w:rFonts w:ascii="宋体" w:hAnsi="宋体" w:eastAsia="宋体" w:cs="Arial"/>
          <w:color w:val="1F2329"/>
          <w:szCs w:val="21"/>
        </w:rPr>
        <w:t>事先通知。</w:t>
      </w:r>
    </w:p>
    <w:p w14:paraId="60E5C433">
      <w:pPr>
        <w:spacing w:before="120" w:after="120" w:line="288" w:lineRule="auto"/>
        <w:jc w:val="left"/>
        <w:rPr>
          <w:rFonts w:ascii="宋体" w:hAnsi="宋体" w:eastAsia="宋体"/>
          <w:szCs w:val="21"/>
        </w:rPr>
      </w:pPr>
      <w:r>
        <w:rPr>
          <w:rFonts w:ascii="宋体" w:hAnsi="宋体" w:eastAsia="宋体" w:cs="Arial"/>
          <w:color w:val="1F2329"/>
          <w:szCs w:val="21"/>
        </w:rPr>
        <w:t>上文所称的“D”指的是“当月”</w:t>
      </w:r>
    </w:p>
    <w:p w14:paraId="73CF23B3">
      <w:pPr>
        <w:pStyle w:val="4"/>
        <w:numPr>
          <w:ilvl w:val="1"/>
          <w:numId w:val="6"/>
        </w:numPr>
        <w:spacing w:before="120" w:after="120" w:line="288" w:lineRule="auto"/>
        <w:ind w:firstLineChars="0"/>
        <w:jc w:val="left"/>
        <w:rPr>
          <w:rFonts w:ascii="宋体" w:hAnsi="宋体" w:eastAsia="宋体"/>
          <w:szCs w:val="21"/>
        </w:rPr>
      </w:pPr>
      <w:r>
        <w:rPr>
          <w:rFonts w:ascii="宋体" w:hAnsi="宋体" w:eastAsia="宋体" w:cs="Arial"/>
          <w:color w:val="1F2329"/>
          <w:szCs w:val="21"/>
        </w:rPr>
        <w:t>甲方有权按照附件约定的考核标准对乙方服务进行考核，并根据考核结果结算服务费用。对考核结果以及费用结算事宜，乙方</w:t>
      </w:r>
      <w:r>
        <w:rPr>
          <w:rFonts w:hint="eastAsia" w:ascii="宋体" w:hAnsi="宋体" w:eastAsia="宋体" w:cs="Arial"/>
          <w:color w:val="1F2329"/>
          <w:szCs w:val="21"/>
        </w:rPr>
        <w:t>无条件</w:t>
      </w:r>
      <w:r>
        <w:rPr>
          <w:rFonts w:ascii="宋体" w:hAnsi="宋体" w:eastAsia="宋体" w:cs="Arial"/>
          <w:color w:val="1F2329"/>
          <w:szCs w:val="21"/>
        </w:rPr>
        <w:t>予以</w:t>
      </w:r>
      <w:r>
        <w:rPr>
          <w:rFonts w:hint="eastAsia" w:ascii="宋体" w:hAnsi="宋体" w:eastAsia="宋体" w:cs="Arial"/>
          <w:color w:val="1F2329"/>
          <w:szCs w:val="21"/>
        </w:rPr>
        <w:t>接受并</w:t>
      </w:r>
      <w:r>
        <w:rPr>
          <w:rFonts w:ascii="宋体" w:hAnsi="宋体" w:eastAsia="宋体" w:cs="Arial"/>
          <w:color w:val="1F2329"/>
          <w:szCs w:val="21"/>
        </w:rPr>
        <w:t xml:space="preserve">认可。  </w:t>
      </w:r>
    </w:p>
    <w:p w14:paraId="16F52C38">
      <w:pPr>
        <w:pStyle w:val="4"/>
        <w:numPr>
          <w:ilvl w:val="1"/>
          <w:numId w:val="6"/>
        </w:numPr>
        <w:spacing w:before="120" w:after="120" w:line="288" w:lineRule="auto"/>
        <w:ind w:firstLineChars="0"/>
        <w:jc w:val="left"/>
        <w:rPr>
          <w:rFonts w:ascii="宋体" w:hAnsi="宋体" w:eastAsia="宋体"/>
          <w:szCs w:val="21"/>
        </w:rPr>
      </w:pPr>
      <w:r>
        <w:rPr>
          <w:rFonts w:hint="eastAsia" w:ascii="宋体" w:hAnsi="宋体" w:eastAsia="宋体" w:cs="Arial"/>
          <w:color w:val="1F2329"/>
          <w:szCs w:val="21"/>
        </w:rPr>
        <w:t>甲方向乙方索赔的款项，乙方应</w:t>
      </w:r>
      <w:r>
        <w:rPr>
          <w:rFonts w:ascii="宋体" w:hAnsi="宋体" w:eastAsia="宋体" w:cs="Arial"/>
          <w:color w:val="1F2329"/>
          <w:szCs w:val="21"/>
        </w:rPr>
        <w:t>按照甲方指定的期限内予以支付或者甲方有权从应付款中直接予以扣除。不足部分，有权要求乙方在10个工作日内补足，否则甲方有权不支付当期的服务费。索赔金额按照甲方对终端客户销售的市场价格即甲方销售给终端客户的价款结算。</w:t>
      </w:r>
    </w:p>
    <w:p w14:paraId="14B647CC">
      <w:pPr>
        <w:pStyle w:val="4"/>
        <w:numPr>
          <w:ilvl w:val="1"/>
          <w:numId w:val="6"/>
        </w:numPr>
        <w:spacing w:before="120" w:after="120" w:line="288" w:lineRule="auto"/>
        <w:ind w:firstLineChars="0"/>
        <w:jc w:val="left"/>
        <w:rPr>
          <w:rFonts w:ascii="宋体" w:hAnsi="宋体" w:eastAsia="宋体"/>
          <w:szCs w:val="21"/>
        </w:rPr>
      </w:pPr>
      <w:r>
        <w:rPr>
          <w:rFonts w:ascii="宋体" w:hAnsi="宋体" w:eastAsia="宋体" w:cs="Arial"/>
          <w:color w:val="1F2329"/>
          <w:szCs w:val="21"/>
        </w:rPr>
        <w:t>甲方向乙方的索赔方式包括但不限于车辆修复、赔偿金主张、履约</w:t>
      </w:r>
      <w:r>
        <w:rPr>
          <w:rFonts w:hint="eastAsia" w:ascii="宋体" w:hAnsi="宋体" w:eastAsia="宋体" w:cs="Arial"/>
          <w:color w:val="1F2329"/>
          <w:szCs w:val="21"/>
          <w:lang w:val="en-US" w:eastAsia="zh-CN"/>
        </w:rPr>
        <w:t>运费</w:t>
      </w:r>
      <w:r>
        <w:rPr>
          <w:rFonts w:ascii="宋体" w:hAnsi="宋体" w:eastAsia="宋体" w:cs="Arial"/>
          <w:color w:val="1F2329"/>
          <w:szCs w:val="21"/>
        </w:rPr>
        <w:t>扣划、受损</w:t>
      </w:r>
      <w:r>
        <w:rPr>
          <w:rFonts w:hint="eastAsia" w:ascii="宋体" w:hAnsi="宋体" w:eastAsia="宋体" w:cs="Arial"/>
          <w:color w:val="1F2329"/>
          <w:szCs w:val="21"/>
        </w:rPr>
        <w:t>及</w:t>
      </w:r>
      <w:r>
        <w:rPr>
          <w:rFonts w:ascii="宋体" w:hAnsi="宋体" w:eastAsia="宋体" w:cs="Arial"/>
          <w:color w:val="1F2329"/>
          <w:szCs w:val="21"/>
        </w:rPr>
        <w:t>车辆转售乙方等。</w:t>
      </w:r>
    </w:p>
    <w:p w14:paraId="4C0DCC7C">
      <w:pPr>
        <w:pStyle w:val="4"/>
        <w:spacing w:before="120" w:after="120" w:line="288" w:lineRule="auto"/>
        <w:ind w:left="0" w:leftChars="0" w:firstLine="0" w:firstLineChars="0"/>
        <w:jc w:val="left"/>
        <w:rPr>
          <w:rFonts w:ascii="宋体" w:hAnsi="宋体" w:eastAsia="宋体"/>
          <w:b/>
          <w:szCs w:val="21"/>
        </w:rPr>
      </w:pPr>
    </w:p>
    <w:p w14:paraId="574E1DF2">
      <w:pPr>
        <w:pStyle w:val="4"/>
        <w:numPr>
          <w:ilvl w:val="0"/>
          <w:numId w:val="1"/>
        </w:numPr>
        <w:spacing w:before="120" w:after="120" w:line="288" w:lineRule="auto"/>
        <w:ind w:firstLineChars="0"/>
        <w:jc w:val="left"/>
        <w:rPr>
          <w:rFonts w:ascii="宋体" w:hAnsi="宋体" w:eastAsia="宋体"/>
          <w:b/>
          <w:szCs w:val="21"/>
        </w:rPr>
      </w:pPr>
      <w:r>
        <w:rPr>
          <w:rFonts w:hint="eastAsia" w:ascii="宋体" w:hAnsi="宋体" w:eastAsia="宋体"/>
          <w:b/>
          <w:szCs w:val="21"/>
        </w:rPr>
        <w:t>合作期限</w:t>
      </w:r>
    </w:p>
    <w:p w14:paraId="6EB0A6BE">
      <w:pPr>
        <w:pStyle w:val="4"/>
        <w:numPr>
          <w:ilvl w:val="1"/>
          <w:numId w:val="8"/>
        </w:numPr>
        <w:spacing w:before="120" w:after="120" w:line="288" w:lineRule="auto"/>
        <w:ind w:firstLineChars="0"/>
        <w:jc w:val="left"/>
        <w:rPr>
          <w:rFonts w:ascii="宋体" w:hAnsi="宋体" w:eastAsia="宋体"/>
          <w:szCs w:val="21"/>
        </w:rPr>
      </w:pPr>
      <w:r>
        <w:rPr>
          <w:rFonts w:ascii="宋体" w:hAnsi="宋体" w:eastAsia="宋体" w:cs="Arial"/>
          <w:color w:val="1F2329"/>
          <w:szCs w:val="21"/>
        </w:rPr>
        <w:t>本协议履行期限自【</w:t>
      </w:r>
      <w:r>
        <w:rPr>
          <w:rFonts w:hint="eastAsia" w:ascii="宋体" w:hAnsi="宋体" w:eastAsia="宋体" w:cs="Arial"/>
          <w:color w:val="1F2329"/>
          <w:szCs w:val="21"/>
        </w:rPr>
        <w:t xml:space="preserve"> </w:t>
      </w:r>
      <w:r>
        <w:rPr>
          <w:rFonts w:ascii="宋体" w:hAnsi="宋体" w:eastAsia="宋体" w:cs="Arial"/>
          <w:color w:val="1F2329"/>
          <w:szCs w:val="21"/>
        </w:rPr>
        <w:t>2024  】年【</w:t>
      </w:r>
      <w:r>
        <w:rPr>
          <w:rFonts w:hint="eastAsia" w:ascii="宋体" w:hAnsi="宋体" w:eastAsia="宋体" w:cs="Arial"/>
          <w:color w:val="1F2329"/>
          <w:szCs w:val="21"/>
        </w:rPr>
        <w:t xml:space="preserve"> </w:t>
      </w:r>
      <w:r>
        <w:rPr>
          <w:rFonts w:ascii="宋体" w:hAnsi="宋体" w:eastAsia="宋体" w:cs="Arial"/>
          <w:color w:val="1F2329"/>
          <w:szCs w:val="21"/>
        </w:rPr>
        <w:t>9 】月【</w:t>
      </w:r>
      <w:r>
        <w:rPr>
          <w:rFonts w:hint="eastAsia" w:ascii="宋体" w:hAnsi="宋体" w:eastAsia="宋体" w:cs="Arial"/>
          <w:color w:val="1F2329"/>
          <w:szCs w:val="21"/>
        </w:rPr>
        <w:t xml:space="preserve"> </w:t>
      </w:r>
      <w:r>
        <w:rPr>
          <w:rFonts w:ascii="宋体" w:hAnsi="宋体" w:eastAsia="宋体" w:cs="Arial"/>
          <w:color w:val="1F2329"/>
          <w:szCs w:val="21"/>
        </w:rPr>
        <w:t>23  】日起生效至【 2026 】年【 9 】月【 22 】日自动终止。</w:t>
      </w:r>
    </w:p>
    <w:p w14:paraId="027139E0">
      <w:pPr>
        <w:pStyle w:val="4"/>
        <w:numPr>
          <w:ilvl w:val="1"/>
          <w:numId w:val="8"/>
        </w:numPr>
        <w:spacing w:before="120" w:after="120" w:line="288" w:lineRule="auto"/>
        <w:ind w:firstLineChars="0"/>
        <w:jc w:val="left"/>
        <w:rPr>
          <w:rFonts w:ascii="宋体" w:hAnsi="宋体" w:eastAsia="宋体"/>
          <w:szCs w:val="21"/>
        </w:rPr>
      </w:pPr>
      <w:r>
        <w:rPr>
          <w:rFonts w:ascii="宋体" w:hAnsi="宋体" w:eastAsia="宋体" w:cs="Arial"/>
          <w:color w:val="1F2329"/>
          <w:szCs w:val="21"/>
        </w:rPr>
        <w:t>本协议履行期间（包括协议延长履行期间），</w:t>
      </w:r>
      <w:r>
        <w:rPr>
          <w:rFonts w:hint="eastAsia" w:ascii="宋体" w:hAnsi="宋体" w:eastAsia="宋体" w:cs="Arial"/>
          <w:color w:val="1F2329"/>
          <w:szCs w:val="21"/>
        </w:rPr>
        <w:t>甲方</w:t>
      </w:r>
      <w:r>
        <w:rPr>
          <w:rFonts w:ascii="宋体" w:hAnsi="宋体" w:eastAsia="宋体" w:cs="Arial"/>
          <w:color w:val="1F2329"/>
          <w:szCs w:val="21"/>
        </w:rPr>
        <w:t>可以解除协议，但须提前【90】天书面通知</w:t>
      </w:r>
      <w:r>
        <w:rPr>
          <w:rFonts w:hint="eastAsia" w:ascii="宋体" w:hAnsi="宋体" w:eastAsia="宋体" w:cs="Arial"/>
          <w:color w:val="1F2329"/>
          <w:szCs w:val="21"/>
        </w:rPr>
        <w:t>乙方</w:t>
      </w:r>
      <w:r>
        <w:rPr>
          <w:rFonts w:ascii="宋体" w:hAnsi="宋体" w:eastAsia="宋体" w:cs="Arial"/>
          <w:color w:val="1F2329"/>
          <w:szCs w:val="21"/>
        </w:rPr>
        <w:t>，自通知到达对方，解除方可生效。</w:t>
      </w:r>
    </w:p>
    <w:p w14:paraId="4FF74F7F">
      <w:pPr>
        <w:spacing w:before="120" w:after="120" w:line="288" w:lineRule="auto"/>
        <w:jc w:val="left"/>
        <w:rPr>
          <w:rFonts w:ascii="宋体" w:hAnsi="宋体" w:eastAsia="宋体"/>
          <w:szCs w:val="21"/>
        </w:rPr>
      </w:pPr>
    </w:p>
    <w:p w14:paraId="65E4F950">
      <w:pPr>
        <w:pStyle w:val="4"/>
        <w:numPr>
          <w:ilvl w:val="0"/>
          <w:numId w:val="1"/>
        </w:numPr>
        <w:spacing w:before="120" w:after="120" w:line="288" w:lineRule="auto"/>
        <w:ind w:firstLineChars="0"/>
        <w:jc w:val="left"/>
        <w:rPr>
          <w:rFonts w:ascii="宋体" w:hAnsi="宋体" w:eastAsia="宋体"/>
          <w:b/>
          <w:szCs w:val="21"/>
        </w:rPr>
      </w:pPr>
      <w:r>
        <w:rPr>
          <w:rFonts w:hint="eastAsia" w:ascii="宋体" w:hAnsi="宋体" w:eastAsia="宋体"/>
          <w:b/>
          <w:szCs w:val="21"/>
        </w:rPr>
        <w:t>责任和索赔</w:t>
      </w:r>
    </w:p>
    <w:p w14:paraId="39BABE79">
      <w:pPr>
        <w:pStyle w:val="4"/>
        <w:numPr>
          <w:ilvl w:val="1"/>
          <w:numId w:val="9"/>
        </w:numPr>
        <w:spacing w:before="120" w:after="120" w:line="288" w:lineRule="auto"/>
        <w:ind w:firstLineChars="0"/>
        <w:jc w:val="left"/>
        <w:rPr>
          <w:rFonts w:ascii="宋体" w:hAnsi="宋体" w:eastAsia="宋体"/>
          <w:szCs w:val="21"/>
        </w:rPr>
      </w:pPr>
      <w:r>
        <w:rPr>
          <w:rFonts w:ascii="宋体" w:hAnsi="宋体" w:eastAsia="宋体" w:cs="Arial"/>
          <w:color w:val="1F2329"/>
          <w:szCs w:val="21"/>
        </w:rPr>
        <w:t>乙方</w:t>
      </w:r>
      <w:r>
        <w:rPr>
          <w:rFonts w:ascii="宋体" w:hAnsi="宋体" w:eastAsia="宋体"/>
          <w:szCs w:val="21"/>
        </w:rPr>
        <w:t>应承担其在看管、保管和控制</w:t>
      </w:r>
      <w:r>
        <w:rPr>
          <w:rFonts w:hint="eastAsia" w:ascii="宋体" w:hAnsi="宋体" w:eastAsia="宋体"/>
          <w:szCs w:val="21"/>
        </w:rPr>
        <w:t>、运输、占有</w:t>
      </w:r>
      <w:r>
        <w:rPr>
          <w:rFonts w:ascii="宋体" w:hAnsi="宋体" w:eastAsia="宋体"/>
          <w:szCs w:val="21"/>
        </w:rPr>
        <w:t>车辆期间造成的任何损失（包括但不限于</w:t>
      </w:r>
      <w:r>
        <w:rPr>
          <w:rFonts w:hint="eastAsia" w:ascii="宋体" w:hAnsi="宋体" w:eastAsia="宋体"/>
          <w:szCs w:val="21"/>
        </w:rPr>
        <w:t>甲方</w:t>
      </w:r>
      <w:r>
        <w:rPr>
          <w:rFonts w:ascii="宋体" w:hAnsi="宋体" w:eastAsia="宋体"/>
          <w:szCs w:val="21"/>
        </w:rPr>
        <w:t>因此而遭受的直接损失、任何可预期的间接损失、</w:t>
      </w:r>
      <w:r>
        <w:rPr>
          <w:rFonts w:hint="eastAsia" w:ascii="宋体" w:hAnsi="宋体" w:eastAsia="宋体"/>
          <w:szCs w:val="21"/>
        </w:rPr>
        <w:t>甲方</w:t>
      </w:r>
      <w:r>
        <w:rPr>
          <w:rFonts w:ascii="宋体" w:hAnsi="宋体" w:eastAsia="宋体"/>
          <w:szCs w:val="21"/>
        </w:rPr>
        <w:t xml:space="preserve">更换供应商支出的额外费用、律师费用、诉讼及仲裁费用、财务费用、差旅费、守约方因此支付的其他费用等）或损害（不包括固有缺陷或质量下降造成的损失或损害）的责任。 </w:t>
      </w:r>
    </w:p>
    <w:p w14:paraId="3ED941AC">
      <w:pPr>
        <w:pStyle w:val="4"/>
        <w:numPr>
          <w:ilvl w:val="1"/>
          <w:numId w:val="9"/>
        </w:numPr>
        <w:spacing w:before="120" w:after="120" w:line="288" w:lineRule="auto"/>
        <w:ind w:firstLineChars="0"/>
        <w:jc w:val="left"/>
        <w:rPr>
          <w:rFonts w:ascii="宋体" w:hAnsi="宋体" w:eastAsia="宋体"/>
          <w:szCs w:val="21"/>
        </w:rPr>
      </w:pPr>
      <w:r>
        <w:rPr>
          <w:rFonts w:hint="eastAsia" w:ascii="宋体" w:hAnsi="宋体" w:eastAsia="宋体"/>
          <w:szCs w:val="21"/>
        </w:rPr>
        <w:t>乙方</w:t>
      </w:r>
      <w:r>
        <w:rPr>
          <w:rFonts w:ascii="宋体" w:hAnsi="宋体" w:eastAsia="宋体"/>
          <w:szCs w:val="21"/>
        </w:rPr>
        <w:t>有义务协助</w:t>
      </w:r>
      <w:r>
        <w:rPr>
          <w:rFonts w:hint="eastAsia" w:ascii="宋体" w:hAnsi="宋体" w:eastAsia="宋体"/>
          <w:szCs w:val="21"/>
        </w:rPr>
        <w:t>甲方</w:t>
      </w:r>
      <w:r>
        <w:rPr>
          <w:rFonts w:ascii="宋体" w:hAnsi="宋体" w:eastAsia="宋体"/>
          <w:szCs w:val="21"/>
        </w:rPr>
        <w:t>进行索赔，包括但不限于负责办理索赔手续（如拍照、整理、上传系统、临时储存、退件等）。</w:t>
      </w:r>
      <w:r>
        <w:rPr>
          <w:rFonts w:hint="eastAsia" w:ascii="宋体" w:hAnsi="宋体" w:eastAsia="宋体"/>
          <w:szCs w:val="21"/>
        </w:rPr>
        <w:t>乙方</w:t>
      </w:r>
      <w:r>
        <w:rPr>
          <w:rFonts w:ascii="宋体" w:hAnsi="宋体" w:eastAsia="宋体"/>
          <w:szCs w:val="21"/>
        </w:rPr>
        <w:t>未履行协助索赔义务的，</w:t>
      </w:r>
      <w:r>
        <w:rPr>
          <w:rFonts w:hint="eastAsia" w:ascii="宋体" w:hAnsi="宋体" w:eastAsia="宋体"/>
          <w:szCs w:val="21"/>
        </w:rPr>
        <w:t>乙方应</w:t>
      </w:r>
      <w:r>
        <w:rPr>
          <w:rFonts w:ascii="宋体" w:hAnsi="宋体" w:eastAsia="宋体"/>
          <w:szCs w:val="21"/>
        </w:rPr>
        <w:t>承担已发生的</w:t>
      </w:r>
      <w:r>
        <w:rPr>
          <w:rFonts w:hint="eastAsia" w:ascii="宋体" w:hAnsi="宋体" w:eastAsia="宋体"/>
          <w:szCs w:val="21"/>
        </w:rPr>
        <w:t>甲方的</w:t>
      </w:r>
      <w:r>
        <w:rPr>
          <w:rFonts w:ascii="宋体" w:hAnsi="宋体" w:eastAsia="宋体"/>
          <w:szCs w:val="21"/>
        </w:rPr>
        <w:t>全部损失。</w:t>
      </w:r>
    </w:p>
    <w:p w14:paraId="100A536E">
      <w:pPr>
        <w:pStyle w:val="4"/>
        <w:numPr>
          <w:ilvl w:val="1"/>
          <w:numId w:val="9"/>
        </w:numPr>
        <w:spacing w:before="120" w:after="120" w:line="288" w:lineRule="auto"/>
        <w:ind w:firstLineChars="0"/>
        <w:jc w:val="left"/>
        <w:rPr>
          <w:rFonts w:ascii="宋体" w:hAnsi="宋体" w:eastAsia="宋体"/>
          <w:szCs w:val="21"/>
        </w:rPr>
      </w:pPr>
      <w:r>
        <w:rPr>
          <w:rFonts w:hint="eastAsia" w:ascii="宋体" w:hAnsi="宋体" w:eastAsia="宋体"/>
          <w:szCs w:val="21"/>
        </w:rPr>
        <w:t>乙方应为履行本协议约定的服务</w:t>
      </w:r>
      <w:r>
        <w:rPr>
          <w:rFonts w:ascii="宋体" w:hAnsi="宋体" w:eastAsia="宋体"/>
          <w:szCs w:val="21"/>
        </w:rPr>
        <w:t>购买适当的保险，详细参照技术要求中的保险部分。如果因违反本协议及附件导致</w:t>
      </w:r>
      <w:r>
        <w:rPr>
          <w:rFonts w:hint="eastAsia" w:ascii="宋体" w:hAnsi="宋体" w:eastAsia="宋体"/>
          <w:szCs w:val="21"/>
        </w:rPr>
        <w:t>甲方</w:t>
      </w:r>
      <w:r>
        <w:rPr>
          <w:rFonts w:ascii="宋体" w:hAnsi="宋体" w:eastAsia="宋体"/>
          <w:szCs w:val="21"/>
        </w:rPr>
        <w:t>缴纳的保费升高，并且该违反是由</w:t>
      </w:r>
      <w:r>
        <w:rPr>
          <w:rFonts w:hint="eastAsia" w:ascii="宋体" w:hAnsi="宋体" w:eastAsia="宋体"/>
          <w:szCs w:val="21"/>
        </w:rPr>
        <w:t>乙方</w:t>
      </w:r>
      <w:r>
        <w:rPr>
          <w:rFonts w:ascii="宋体" w:hAnsi="宋体" w:eastAsia="宋体"/>
          <w:szCs w:val="21"/>
        </w:rPr>
        <w:t>或任何其他可归因于</w:t>
      </w:r>
      <w:r>
        <w:rPr>
          <w:rFonts w:hint="eastAsia" w:ascii="宋体" w:hAnsi="宋体" w:eastAsia="宋体"/>
          <w:szCs w:val="21"/>
        </w:rPr>
        <w:t>乙方</w:t>
      </w:r>
      <w:r>
        <w:rPr>
          <w:rFonts w:ascii="宋体" w:hAnsi="宋体" w:eastAsia="宋体"/>
          <w:szCs w:val="21"/>
        </w:rPr>
        <w:t>的原因造成，则</w:t>
      </w:r>
      <w:r>
        <w:rPr>
          <w:rFonts w:hint="eastAsia" w:ascii="宋体" w:hAnsi="宋体" w:eastAsia="宋体"/>
          <w:szCs w:val="21"/>
        </w:rPr>
        <w:t>乙方</w:t>
      </w:r>
      <w:r>
        <w:rPr>
          <w:rFonts w:ascii="宋体" w:hAnsi="宋体" w:eastAsia="宋体"/>
          <w:szCs w:val="21"/>
        </w:rPr>
        <w:t>应承担该等额外成本。保险理赔事宜由</w:t>
      </w:r>
      <w:r>
        <w:rPr>
          <w:rFonts w:hint="eastAsia" w:ascii="宋体" w:hAnsi="宋体" w:eastAsia="宋体"/>
          <w:szCs w:val="21"/>
        </w:rPr>
        <w:t>乙方</w:t>
      </w:r>
      <w:r>
        <w:rPr>
          <w:rFonts w:ascii="宋体" w:hAnsi="宋体" w:eastAsia="宋体"/>
          <w:szCs w:val="21"/>
        </w:rPr>
        <w:t>负责办理，</w:t>
      </w:r>
      <w:r>
        <w:rPr>
          <w:rFonts w:hint="eastAsia" w:ascii="宋体" w:hAnsi="宋体" w:eastAsia="宋体"/>
          <w:szCs w:val="21"/>
        </w:rPr>
        <w:t>甲方</w:t>
      </w:r>
      <w:r>
        <w:rPr>
          <w:rFonts w:ascii="宋体" w:hAnsi="宋体" w:eastAsia="宋体"/>
          <w:szCs w:val="21"/>
        </w:rPr>
        <w:t>为受益人，如理赔款不能直接支付</w:t>
      </w:r>
      <w:r>
        <w:rPr>
          <w:rFonts w:hint="eastAsia" w:ascii="宋体" w:hAnsi="宋体" w:eastAsia="宋体"/>
          <w:szCs w:val="21"/>
        </w:rPr>
        <w:t>甲方</w:t>
      </w:r>
      <w:r>
        <w:rPr>
          <w:rFonts w:ascii="宋体" w:hAnsi="宋体" w:eastAsia="宋体"/>
          <w:szCs w:val="21"/>
        </w:rPr>
        <w:t>的，</w:t>
      </w:r>
      <w:r>
        <w:rPr>
          <w:rFonts w:hint="eastAsia" w:ascii="宋体" w:hAnsi="宋体" w:eastAsia="宋体"/>
          <w:szCs w:val="21"/>
        </w:rPr>
        <w:t>乙方应</w:t>
      </w:r>
      <w:r>
        <w:rPr>
          <w:rFonts w:ascii="宋体" w:hAnsi="宋体" w:eastAsia="宋体"/>
          <w:szCs w:val="21"/>
        </w:rPr>
        <w:t>先将赔偿款项支付给</w:t>
      </w:r>
      <w:r>
        <w:rPr>
          <w:rFonts w:hint="eastAsia" w:ascii="宋体" w:hAnsi="宋体" w:eastAsia="宋体"/>
          <w:szCs w:val="21"/>
        </w:rPr>
        <w:t>甲方</w:t>
      </w:r>
      <w:r>
        <w:rPr>
          <w:rFonts w:ascii="宋体" w:hAnsi="宋体" w:eastAsia="宋体"/>
          <w:szCs w:val="21"/>
        </w:rPr>
        <w:t>，保险理赔款项由</w:t>
      </w:r>
      <w:r>
        <w:rPr>
          <w:rFonts w:hint="eastAsia" w:ascii="宋体" w:hAnsi="宋体" w:eastAsia="宋体"/>
          <w:szCs w:val="21"/>
        </w:rPr>
        <w:t>乙方</w:t>
      </w:r>
      <w:r>
        <w:rPr>
          <w:rFonts w:ascii="宋体" w:hAnsi="宋体" w:eastAsia="宋体"/>
          <w:szCs w:val="21"/>
        </w:rPr>
        <w:t>收取。如保险理赔款不能覆盖全部损失，</w:t>
      </w:r>
      <w:r>
        <w:rPr>
          <w:rFonts w:hint="eastAsia" w:ascii="宋体" w:hAnsi="宋体" w:eastAsia="宋体"/>
          <w:szCs w:val="21"/>
        </w:rPr>
        <w:t>乙方</w:t>
      </w:r>
      <w:r>
        <w:rPr>
          <w:rFonts w:ascii="宋体" w:hAnsi="宋体" w:eastAsia="宋体"/>
          <w:szCs w:val="21"/>
        </w:rPr>
        <w:t>应继续承担赔偿责任。</w:t>
      </w:r>
    </w:p>
    <w:p w14:paraId="5F5D7852">
      <w:pPr>
        <w:pStyle w:val="4"/>
        <w:numPr>
          <w:ilvl w:val="1"/>
          <w:numId w:val="9"/>
        </w:numPr>
        <w:spacing w:before="120" w:after="120" w:line="288" w:lineRule="auto"/>
        <w:ind w:firstLineChars="0"/>
        <w:jc w:val="left"/>
        <w:rPr>
          <w:rFonts w:ascii="宋体" w:hAnsi="宋体" w:eastAsia="宋体"/>
          <w:szCs w:val="21"/>
        </w:rPr>
      </w:pPr>
      <w:r>
        <w:rPr>
          <w:rFonts w:hint="eastAsia" w:ascii="宋体" w:hAnsi="宋体" w:eastAsia="宋体"/>
          <w:szCs w:val="21"/>
        </w:rPr>
        <w:t>乙方</w:t>
      </w:r>
      <w:r>
        <w:rPr>
          <w:rFonts w:ascii="宋体" w:hAnsi="宋体" w:eastAsia="宋体"/>
          <w:szCs w:val="21"/>
        </w:rPr>
        <w:t>应承担因</w:t>
      </w:r>
      <w:r>
        <w:rPr>
          <w:rFonts w:hint="eastAsia" w:ascii="宋体" w:hAnsi="宋体" w:eastAsia="宋体"/>
          <w:szCs w:val="21"/>
        </w:rPr>
        <w:t>其</w:t>
      </w:r>
      <w:r>
        <w:rPr>
          <w:rFonts w:ascii="宋体" w:hAnsi="宋体" w:eastAsia="宋体"/>
          <w:szCs w:val="21"/>
        </w:rPr>
        <w:t>在履行本协议项下的义务过程中的任何过失（包括重大过失）或故意不当行为给第三方造成的任何损失、损害或伤害。</w:t>
      </w:r>
      <w:r>
        <w:rPr>
          <w:rFonts w:hint="eastAsia" w:ascii="宋体" w:hAnsi="宋体" w:eastAsia="宋体"/>
          <w:szCs w:val="21"/>
        </w:rPr>
        <w:t>乙方</w:t>
      </w:r>
      <w:r>
        <w:rPr>
          <w:rFonts w:ascii="宋体" w:hAnsi="宋体" w:eastAsia="宋体"/>
          <w:szCs w:val="21"/>
        </w:rPr>
        <w:t>应向</w:t>
      </w:r>
      <w:r>
        <w:rPr>
          <w:rFonts w:hint="eastAsia" w:ascii="宋体" w:hAnsi="宋体" w:eastAsia="宋体"/>
          <w:szCs w:val="21"/>
        </w:rPr>
        <w:t>甲方</w:t>
      </w:r>
      <w:r>
        <w:rPr>
          <w:rFonts w:ascii="宋体" w:hAnsi="宋体" w:eastAsia="宋体"/>
          <w:szCs w:val="21"/>
        </w:rPr>
        <w:t>赔偿因该等损失、损害或伤害产生的或与之相关的任何索赔。对于非因</w:t>
      </w:r>
      <w:r>
        <w:rPr>
          <w:rFonts w:hint="eastAsia" w:ascii="宋体" w:hAnsi="宋体" w:eastAsia="宋体"/>
          <w:szCs w:val="21"/>
        </w:rPr>
        <w:t>乙方</w:t>
      </w:r>
      <w:r>
        <w:rPr>
          <w:rFonts w:ascii="宋体" w:hAnsi="宋体" w:eastAsia="宋体"/>
          <w:szCs w:val="21"/>
        </w:rPr>
        <w:t>原因发生的财产损失、人身伤害等，</w:t>
      </w:r>
      <w:r>
        <w:rPr>
          <w:rFonts w:hint="eastAsia" w:ascii="宋体" w:hAnsi="宋体" w:eastAsia="宋体"/>
          <w:szCs w:val="21"/>
        </w:rPr>
        <w:t>乙方</w:t>
      </w:r>
      <w:r>
        <w:rPr>
          <w:rFonts w:ascii="宋体" w:hAnsi="宋体" w:eastAsia="宋体"/>
          <w:szCs w:val="21"/>
        </w:rPr>
        <w:t>应优先保证本协议的正常履行</w:t>
      </w:r>
      <w:r>
        <w:rPr>
          <w:rFonts w:hint="eastAsia" w:ascii="宋体" w:hAnsi="宋体" w:eastAsia="宋体"/>
          <w:szCs w:val="21"/>
        </w:rPr>
        <w:t>。</w:t>
      </w:r>
    </w:p>
    <w:p w14:paraId="3D5DE819">
      <w:pPr>
        <w:pStyle w:val="4"/>
        <w:numPr>
          <w:ilvl w:val="1"/>
          <w:numId w:val="9"/>
        </w:numPr>
        <w:spacing w:before="120" w:after="120" w:line="288" w:lineRule="auto"/>
        <w:ind w:firstLineChars="0"/>
        <w:jc w:val="left"/>
        <w:rPr>
          <w:rFonts w:ascii="宋体" w:hAnsi="宋体" w:eastAsia="宋体"/>
          <w:szCs w:val="21"/>
        </w:rPr>
      </w:pPr>
      <w:r>
        <w:rPr>
          <w:rFonts w:hint="eastAsia" w:ascii="宋体" w:hAnsi="宋体" w:eastAsia="宋体"/>
          <w:szCs w:val="21"/>
        </w:rPr>
        <w:t>乙方</w:t>
      </w:r>
      <w:r>
        <w:rPr>
          <w:rFonts w:ascii="宋体" w:hAnsi="宋体" w:eastAsia="宋体"/>
          <w:szCs w:val="21"/>
        </w:rPr>
        <w:t>应独自负责和承担因在</w:t>
      </w:r>
      <w:r>
        <w:rPr>
          <w:rFonts w:hint="eastAsia" w:ascii="宋体" w:hAnsi="宋体" w:eastAsia="宋体"/>
          <w:szCs w:val="21"/>
        </w:rPr>
        <w:t>其自身</w:t>
      </w:r>
      <w:r>
        <w:rPr>
          <w:rFonts w:ascii="宋体" w:hAnsi="宋体" w:eastAsia="宋体"/>
          <w:szCs w:val="21"/>
        </w:rPr>
        <w:t>场所开展工作引起的或与之相关的财产（包括</w:t>
      </w:r>
      <w:r>
        <w:rPr>
          <w:rFonts w:hint="eastAsia" w:ascii="宋体" w:hAnsi="宋体" w:eastAsia="宋体"/>
          <w:szCs w:val="21"/>
        </w:rPr>
        <w:t>甲方</w:t>
      </w:r>
      <w:r>
        <w:rPr>
          <w:rFonts w:ascii="宋体" w:hAnsi="宋体" w:eastAsia="宋体"/>
          <w:szCs w:val="21"/>
        </w:rPr>
        <w:t>财产）损害或损毁或任何人士遭受的人身伤害或疾病（包括在任何时候由此导致的死亡）导致的所有损失、支出、损害或索赔责任，并应免除</w:t>
      </w:r>
      <w:r>
        <w:rPr>
          <w:rFonts w:hint="eastAsia" w:ascii="宋体" w:hAnsi="宋体" w:eastAsia="宋体"/>
          <w:szCs w:val="21"/>
        </w:rPr>
        <w:t>甲方</w:t>
      </w:r>
      <w:r>
        <w:rPr>
          <w:rFonts w:ascii="宋体" w:hAnsi="宋体" w:eastAsia="宋体"/>
          <w:szCs w:val="21"/>
        </w:rPr>
        <w:t>的该等责任；但</w:t>
      </w:r>
      <w:r>
        <w:rPr>
          <w:rFonts w:hint="eastAsia" w:ascii="宋体" w:hAnsi="宋体" w:eastAsia="宋体"/>
          <w:szCs w:val="21"/>
        </w:rPr>
        <w:t>乙方</w:t>
      </w:r>
      <w:r>
        <w:rPr>
          <w:rFonts w:ascii="宋体" w:hAnsi="宋体" w:eastAsia="宋体"/>
          <w:szCs w:val="21"/>
        </w:rPr>
        <w:t>无须承担因</w:t>
      </w:r>
      <w:r>
        <w:rPr>
          <w:rFonts w:hint="eastAsia" w:ascii="宋体" w:hAnsi="宋体" w:eastAsia="宋体"/>
          <w:szCs w:val="21"/>
        </w:rPr>
        <w:t>甲方</w:t>
      </w:r>
      <w:r>
        <w:rPr>
          <w:rFonts w:ascii="宋体" w:hAnsi="宋体" w:eastAsia="宋体"/>
          <w:szCs w:val="21"/>
        </w:rPr>
        <w:t>故意不当行为或自身过失引起的索赔责任。</w:t>
      </w:r>
    </w:p>
    <w:p w14:paraId="1F1D3CFA">
      <w:pPr>
        <w:pStyle w:val="4"/>
        <w:numPr>
          <w:ilvl w:val="1"/>
          <w:numId w:val="9"/>
        </w:numPr>
        <w:spacing w:before="120" w:after="120" w:line="288" w:lineRule="auto"/>
        <w:ind w:firstLineChars="0"/>
        <w:jc w:val="left"/>
        <w:rPr>
          <w:rFonts w:ascii="宋体" w:hAnsi="宋体" w:eastAsia="宋体"/>
          <w:szCs w:val="21"/>
        </w:rPr>
      </w:pPr>
      <w:r>
        <w:rPr>
          <w:rFonts w:hint="eastAsia" w:ascii="宋体" w:hAnsi="宋体" w:eastAsia="宋体"/>
          <w:szCs w:val="21"/>
        </w:rPr>
        <w:t>乙方</w:t>
      </w:r>
      <w:r>
        <w:rPr>
          <w:rFonts w:ascii="宋体" w:hAnsi="宋体" w:eastAsia="宋体"/>
          <w:szCs w:val="21"/>
        </w:rPr>
        <w:t>应独自负责和承担装卸及运输过程中引起的或与之相关的财产（包括</w:t>
      </w:r>
      <w:r>
        <w:rPr>
          <w:rFonts w:hint="eastAsia" w:ascii="宋体" w:hAnsi="宋体" w:eastAsia="宋体"/>
          <w:szCs w:val="21"/>
        </w:rPr>
        <w:t>甲方</w:t>
      </w:r>
      <w:r>
        <w:rPr>
          <w:rFonts w:ascii="宋体" w:hAnsi="宋体" w:eastAsia="宋体"/>
          <w:szCs w:val="21"/>
        </w:rPr>
        <w:t>财产）损害或损毁或任何人士遭受的人身伤害或疾病（包括在任何时候由此导致的死亡）导致的所有损失、支出、损害或索赔责任，并应免除</w:t>
      </w:r>
      <w:r>
        <w:rPr>
          <w:rFonts w:hint="eastAsia" w:ascii="宋体" w:hAnsi="宋体" w:eastAsia="宋体"/>
          <w:szCs w:val="21"/>
        </w:rPr>
        <w:t>甲方</w:t>
      </w:r>
      <w:r>
        <w:rPr>
          <w:rFonts w:ascii="宋体" w:hAnsi="宋体" w:eastAsia="宋体"/>
          <w:szCs w:val="21"/>
        </w:rPr>
        <w:t>的该等责任。</w:t>
      </w:r>
    </w:p>
    <w:p w14:paraId="2B34BCC8">
      <w:pPr>
        <w:pStyle w:val="4"/>
        <w:numPr>
          <w:ilvl w:val="1"/>
          <w:numId w:val="9"/>
        </w:numPr>
        <w:spacing w:before="120" w:after="120" w:line="288" w:lineRule="auto"/>
        <w:ind w:firstLineChars="0"/>
        <w:jc w:val="left"/>
        <w:rPr>
          <w:rFonts w:ascii="宋体" w:hAnsi="宋体" w:eastAsia="宋体"/>
          <w:szCs w:val="21"/>
        </w:rPr>
      </w:pPr>
      <w:r>
        <w:rPr>
          <w:rFonts w:ascii="宋体" w:hAnsi="宋体" w:eastAsia="宋体"/>
          <w:szCs w:val="21"/>
        </w:rPr>
        <w:t>乙方须自费在作业启动后的18个月内使自身的质量体系满足ISO 9001:2015和ISO 14001的要求，并须全面遵守该等质量标准。车辆库存维护将按照</w:t>
      </w:r>
      <w:r>
        <w:rPr>
          <w:rFonts w:hint="eastAsia" w:ascii="宋体" w:hAnsi="宋体" w:eastAsia="宋体"/>
          <w:szCs w:val="21"/>
        </w:rPr>
        <w:t>附件</w:t>
      </w:r>
      <w:r>
        <w:rPr>
          <w:rFonts w:ascii="宋体" w:hAnsi="宋体" w:eastAsia="宋体"/>
          <w:szCs w:val="21"/>
        </w:rPr>
        <w:t>甲方的技术要求中规定的方式处理。</w:t>
      </w:r>
    </w:p>
    <w:p w14:paraId="67FE5422">
      <w:pPr>
        <w:pStyle w:val="4"/>
        <w:numPr>
          <w:ilvl w:val="1"/>
          <w:numId w:val="9"/>
        </w:numPr>
        <w:spacing w:before="120" w:after="120" w:line="288" w:lineRule="auto"/>
        <w:ind w:firstLineChars="0"/>
        <w:jc w:val="left"/>
        <w:rPr>
          <w:rFonts w:ascii="宋体" w:hAnsi="宋体" w:eastAsia="宋体"/>
          <w:szCs w:val="21"/>
        </w:rPr>
      </w:pPr>
      <w:r>
        <w:rPr>
          <w:rFonts w:hint="eastAsia" w:ascii="宋体" w:hAnsi="宋体" w:eastAsia="宋体" w:cs="Times New Roman"/>
          <w:szCs w:val="21"/>
          <w:lang w:bidi="ar"/>
        </w:rPr>
        <w:t>如果因违反本协议及附件约定导致甲方缴纳的保费升高，并且违反是由仓库、乙方的材料搬运实践或任何其他可归因于乙方且乙方可控制的原因造成，则乙方应承担该等额外成本。</w:t>
      </w:r>
    </w:p>
    <w:p w14:paraId="2448B986">
      <w:pPr>
        <w:pStyle w:val="4"/>
        <w:numPr>
          <w:ilvl w:val="1"/>
          <w:numId w:val="9"/>
        </w:numPr>
        <w:spacing w:before="120" w:after="120" w:line="288" w:lineRule="auto"/>
        <w:ind w:firstLineChars="0"/>
        <w:jc w:val="left"/>
        <w:rPr>
          <w:rFonts w:ascii="宋体" w:hAnsi="宋体" w:eastAsia="宋体"/>
          <w:szCs w:val="21"/>
        </w:rPr>
      </w:pPr>
      <w:r>
        <w:rPr>
          <w:rFonts w:hint="eastAsia" w:ascii="宋体" w:hAnsi="宋体" w:eastAsia="宋体" w:cs="Times New Roman"/>
          <w:szCs w:val="21"/>
          <w:lang w:bidi="ar"/>
        </w:rPr>
        <w:t>乙方应承担因乙方在履行本协议项下的义务过程中因任何过失（包括重大过失）或故意不当行为给第三方造成的任何损失、损害或伤害。乙方应向甲方赔偿因该等损失、损害或伤害产生的或与之相关的任何索赔（包括但不限于甲方因此而遭受的直接损失、任何可预期的间接损失、甲方更换供应商支出的额外费用、律师费用、诉讼及仲裁费用、财务费用及差旅费以及甲方因此支付的其他费用等）。</w:t>
      </w:r>
    </w:p>
    <w:p w14:paraId="162D8A1A">
      <w:pPr>
        <w:pStyle w:val="4"/>
        <w:numPr>
          <w:ilvl w:val="1"/>
          <w:numId w:val="9"/>
        </w:numPr>
        <w:spacing w:before="120" w:after="120" w:line="288" w:lineRule="auto"/>
        <w:ind w:firstLineChars="0"/>
        <w:jc w:val="left"/>
        <w:rPr>
          <w:rFonts w:ascii="宋体" w:hAnsi="宋体" w:eastAsia="宋体"/>
          <w:szCs w:val="21"/>
        </w:rPr>
      </w:pPr>
      <w:r>
        <w:rPr>
          <w:rFonts w:hint="eastAsia" w:ascii="宋体" w:hAnsi="宋体" w:eastAsia="宋体" w:cs="Times New Roman"/>
          <w:szCs w:val="21"/>
          <w:lang w:bidi="ar"/>
        </w:rPr>
        <w:t>乙方应独自负责和承担因在其场所开展工作引起的或与之相关的财产损害或损毁或任何人士遭受的人身伤害或疾病导致的所有损失、支出、损害或索赔责任，并应免除甲方的该等责任；但乙方无须承担因甲方故意不当行为或自身过失引起的索赔责任，亦未免除甲方的该等责任。</w:t>
      </w:r>
    </w:p>
    <w:p w14:paraId="5EC2742C">
      <w:pPr>
        <w:pStyle w:val="4"/>
        <w:numPr>
          <w:ilvl w:val="1"/>
          <w:numId w:val="9"/>
        </w:numPr>
        <w:spacing w:before="120" w:after="120" w:line="288" w:lineRule="auto"/>
        <w:ind w:firstLineChars="0"/>
        <w:jc w:val="left"/>
        <w:rPr>
          <w:rFonts w:ascii="宋体" w:hAnsi="宋体" w:eastAsia="宋体"/>
          <w:szCs w:val="21"/>
        </w:rPr>
      </w:pPr>
      <w:r>
        <w:rPr>
          <w:rFonts w:hint="eastAsia" w:ascii="宋体" w:hAnsi="宋体" w:eastAsia="宋体" w:cs="Times New Roman"/>
          <w:szCs w:val="21"/>
          <w:lang w:bidi="ar"/>
        </w:rPr>
        <w:t>乙方应独自负责和承担装卸及运输过程中引起的或与之相关的财产（包括甲方财产）损害或损毁或任何人士遭受的人身伤害或疾病（包括在任何时候由此导致的死亡）导致的所有损失、支出、损害或索赔责任，并应免除甲方的该等责任。</w:t>
      </w:r>
    </w:p>
    <w:p w14:paraId="2C34C212">
      <w:pPr>
        <w:pStyle w:val="4"/>
        <w:numPr>
          <w:ilvl w:val="1"/>
          <w:numId w:val="9"/>
        </w:numPr>
        <w:spacing w:before="120" w:after="120" w:line="288" w:lineRule="auto"/>
        <w:ind w:firstLineChars="0"/>
        <w:jc w:val="left"/>
        <w:rPr>
          <w:rFonts w:ascii="宋体" w:hAnsi="宋体" w:eastAsia="宋体"/>
          <w:szCs w:val="21"/>
        </w:rPr>
      </w:pPr>
      <w:r>
        <w:rPr>
          <w:rFonts w:hint="eastAsia" w:ascii="宋体" w:hAnsi="宋体" w:eastAsia="宋体" w:cs="Times New Roman"/>
          <w:szCs w:val="21"/>
          <w:lang w:bidi="ar"/>
        </w:rPr>
        <w:t>乙方应协助甲方进行索赔，包括但不限于负责办理索赔手续（如拍照、整理、上传系统、临时储存、退件等）。乙方未协助甲方办理索赔的，则所有损失及索赔由乙方负责承担。</w:t>
      </w:r>
    </w:p>
    <w:p w14:paraId="249041CD">
      <w:pPr>
        <w:pStyle w:val="4"/>
        <w:numPr>
          <w:ilvl w:val="1"/>
          <w:numId w:val="9"/>
        </w:numPr>
        <w:spacing w:before="120" w:after="120" w:line="288" w:lineRule="auto"/>
        <w:ind w:firstLineChars="0"/>
        <w:jc w:val="left"/>
        <w:rPr>
          <w:rFonts w:ascii="宋体" w:hAnsi="宋体" w:eastAsia="宋体"/>
          <w:szCs w:val="21"/>
        </w:rPr>
      </w:pPr>
      <w:r>
        <w:rPr>
          <w:rFonts w:ascii="宋体" w:hAnsi="宋体" w:eastAsia="宋体"/>
          <w:szCs w:val="21"/>
        </w:rPr>
        <w:t>如合同履行期间乙方无故单方解约或要求解约的，甲方有要求</w:t>
      </w:r>
      <w:r>
        <w:rPr>
          <w:rFonts w:hint="eastAsia" w:ascii="宋体" w:hAnsi="宋体" w:eastAsia="宋体"/>
          <w:szCs w:val="21"/>
        </w:rPr>
        <w:t>乙</w:t>
      </w:r>
      <w:r>
        <w:rPr>
          <w:rFonts w:ascii="宋体" w:hAnsi="宋体" w:eastAsia="宋体"/>
          <w:szCs w:val="21"/>
        </w:rPr>
        <w:t>方赔偿</w:t>
      </w:r>
      <w:r>
        <w:rPr>
          <w:rFonts w:hint="eastAsia" w:ascii="宋体" w:hAnsi="宋体" w:eastAsia="宋体"/>
          <w:szCs w:val="21"/>
        </w:rPr>
        <w:t>甲方</w:t>
      </w:r>
      <w:r>
        <w:rPr>
          <w:rFonts w:ascii="宋体" w:hAnsi="宋体" w:eastAsia="宋体"/>
          <w:szCs w:val="21"/>
        </w:rPr>
        <w:t>全部损失（包括但不限于甲方因此而遭受的直接损失、任何可预期的间接损失、甲方更换供应商支出的额外费用、律师费用、诉讼及仲裁费用、财务费用、差旅费以及甲方因此支付的其他费用等）。</w:t>
      </w:r>
    </w:p>
    <w:p w14:paraId="67D7566B">
      <w:pPr>
        <w:pStyle w:val="4"/>
        <w:numPr>
          <w:ilvl w:val="1"/>
          <w:numId w:val="9"/>
        </w:numPr>
        <w:spacing w:before="120" w:after="120" w:line="288" w:lineRule="auto"/>
        <w:ind w:firstLineChars="0"/>
        <w:jc w:val="left"/>
        <w:rPr>
          <w:rFonts w:ascii="宋体" w:hAnsi="宋体" w:eastAsia="宋体"/>
          <w:szCs w:val="21"/>
        </w:rPr>
      </w:pPr>
      <w:r>
        <w:rPr>
          <w:rFonts w:ascii="宋体" w:hAnsi="宋体" w:eastAsia="宋体"/>
          <w:szCs w:val="21"/>
        </w:rPr>
        <w:t>除本协议另有约定（含附件）外，如果任何一方违约或不履行其在本协议下的义务，非违约方有权书面要求违约方纠正该等违约或不履行的行为。如果违约方未在非违约方通知起的15日内纠正违约，则非违约方应通知违约方，表示违约尚未得到纠正。如果违约在第二次通知后15日内仍未得到纠正，非违约方将有权在向</w:t>
      </w:r>
      <w:r>
        <w:rPr>
          <w:rFonts w:hint="eastAsia" w:ascii="宋体" w:hAnsi="宋体" w:eastAsia="宋体"/>
          <w:szCs w:val="21"/>
        </w:rPr>
        <w:t>违约</w:t>
      </w:r>
      <w:r>
        <w:rPr>
          <w:rFonts w:ascii="宋体" w:hAnsi="宋体" w:eastAsia="宋体"/>
          <w:szCs w:val="21"/>
        </w:rPr>
        <w:t>方书面通知后终止本协议，并有权获得该等违约造成的任何损害赔偿金。</w:t>
      </w:r>
    </w:p>
    <w:p w14:paraId="0B53C514">
      <w:pPr>
        <w:pStyle w:val="4"/>
        <w:numPr>
          <w:ilvl w:val="1"/>
          <w:numId w:val="9"/>
        </w:numPr>
        <w:spacing w:before="120" w:after="120" w:line="288" w:lineRule="auto"/>
        <w:ind w:firstLineChars="0"/>
        <w:jc w:val="left"/>
        <w:rPr>
          <w:rFonts w:ascii="宋体" w:hAnsi="宋体" w:eastAsia="宋体"/>
          <w:szCs w:val="21"/>
        </w:rPr>
      </w:pPr>
      <w:r>
        <w:rPr>
          <w:rFonts w:ascii="宋体" w:hAnsi="宋体" w:eastAsia="宋体"/>
          <w:szCs w:val="21"/>
        </w:rPr>
        <w:t>双方同意如果发生终止业务合作的情况，则应在该等终止通知（或终止合作日）后30日内了结所有索赔，并向甲方或甲方指定的第三方返还车辆。质损理赔未结束的车辆以及正在维修不在乙方场地的车辆乙方无需立即返还，待理赔和维修结束后由乙方返还甲方。若超期不返还的则由乙方按照车辆补贴前价格并上浮10%向甲方赔偿车辆款项。</w:t>
      </w:r>
    </w:p>
    <w:p w14:paraId="70CF3309">
      <w:pPr>
        <w:pStyle w:val="4"/>
        <w:numPr>
          <w:ilvl w:val="1"/>
          <w:numId w:val="9"/>
        </w:numPr>
        <w:spacing w:before="120" w:after="120" w:line="288" w:lineRule="auto"/>
        <w:ind w:firstLineChars="0"/>
        <w:jc w:val="left"/>
        <w:rPr>
          <w:rFonts w:ascii="宋体" w:hAnsi="宋体" w:eastAsia="宋体"/>
          <w:szCs w:val="21"/>
        </w:rPr>
      </w:pPr>
      <w:r>
        <w:rPr>
          <w:rFonts w:ascii="宋体" w:hAnsi="宋体" w:eastAsia="宋体"/>
          <w:szCs w:val="21"/>
        </w:rPr>
        <w:t>乙方</w:t>
      </w:r>
      <w:r>
        <w:rPr>
          <w:rFonts w:hint="eastAsia" w:ascii="宋体" w:hAnsi="宋体" w:eastAsia="宋体"/>
          <w:szCs w:val="21"/>
        </w:rPr>
        <w:t>不得私自售卖或转卖库存车辆</w:t>
      </w:r>
      <w:r>
        <w:rPr>
          <w:rFonts w:ascii="宋体" w:hAnsi="宋体" w:eastAsia="宋体"/>
          <w:szCs w:val="21"/>
        </w:rPr>
        <w:t>，</w:t>
      </w:r>
      <w:r>
        <w:rPr>
          <w:rFonts w:hint="eastAsia" w:ascii="宋体" w:hAnsi="宋体" w:eastAsia="宋体"/>
          <w:szCs w:val="21"/>
        </w:rPr>
        <w:t>一经发现</w:t>
      </w:r>
      <w:r>
        <w:rPr>
          <w:rFonts w:ascii="宋体" w:hAnsi="宋体" w:eastAsia="宋体"/>
          <w:szCs w:val="21"/>
        </w:rPr>
        <w:t>，则甲方有权收取车辆款项以及</w:t>
      </w:r>
      <w:r>
        <w:rPr>
          <w:rFonts w:hint="eastAsia" w:ascii="宋体" w:hAnsi="宋体" w:eastAsia="宋体"/>
          <w:szCs w:val="21"/>
        </w:rPr>
        <w:t>每辆车</w:t>
      </w:r>
      <w:r>
        <w:rPr>
          <w:rFonts w:ascii="宋体" w:hAnsi="宋体" w:eastAsia="宋体"/>
          <w:szCs w:val="21"/>
        </w:rPr>
        <w:t>10万元违约金</w:t>
      </w:r>
      <w:r>
        <w:rPr>
          <w:rFonts w:hint="eastAsia" w:ascii="宋体" w:hAnsi="宋体" w:eastAsia="宋体"/>
          <w:szCs w:val="21"/>
        </w:rPr>
        <w:t>，同时甲方有权解除同乙方的任何合作并终止所有与乙方已经签署的协议。</w:t>
      </w:r>
    </w:p>
    <w:p w14:paraId="196402FA">
      <w:pPr>
        <w:pStyle w:val="4"/>
        <w:numPr>
          <w:ilvl w:val="1"/>
          <w:numId w:val="9"/>
        </w:numPr>
        <w:spacing w:before="120" w:after="120" w:line="288" w:lineRule="auto"/>
        <w:ind w:firstLineChars="0"/>
        <w:jc w:val="left"/>
        <w:rPr>
          <w:rFonts w:ascii="宋体" w:hAnsi="宋体" w:eastAsia="宋体"/>
          <w:szCs w:val="21"/>
        </w:rPr>
      </w:pPr>
      <w:r>
        <w:rPr>
          <w:rFonts w:hint="eastAsia" w:ascii="宋体" w:hAnsi="宋体" w:eastAsia="宋体"/>
          <w:szCs w:val="21"/>
        </w:rPr>
        <w:t>乙方</w:t>
      </w:r>
      <w:r>
        <w:rPr>
          <w:rFonts w:ascii="宋体" w:hAnsi="宋体" w:eastAsia="宋体"/>
          <w:szCs w:val="21"/>
        </w:rPr>
        <w:t>擅自转委托由第三方的，除依据本协议其他条款的约定外，</w:t>
      </w:r>
      <w:r>
        <w:rPr>
          <w:rFonts w:hint="eastAsia" w:ascii="宋体" w:hAnsi="宋体" w:eastAsia="宋体"/>
          <w:szCs w:val="21"/>
        </w:rPr>
        <w:t>第三方的</w:t>
      </w:r>
      <w:r>
        <w:rPr>
          <w:rFonts w:ascii="宋体" w:hAnsi="宋体" w:eastAsia="宋体"/>
          <w:szCs w:val="21"/>
        </w:rPr>
        <w:t>全部损害赔偿责任均由</w:t>
      </w:r>
      <w:r>
        <w:rPr>
          <w:rFonts w:hint="eastAsia" w:ascii="宋体" w:hAnsi="宋体" w:eastAsia="宋体"/>
          <w:szCs w:val="21"/>
        </w:rPr>
        <w:t>乙方</w:t>
      </w:r>
      <w:r>
        <w:rPr>
          <w:rFonts w:ascii="宋体" w:hAnsi="宋体" w:eastAsia="宋体"/>
          <w:szCs w:val="21"/>
        </w:rPr>
        <w:t>予以承担，同时</w:t>
      </w:r>
      <w:r>
        <w:rPr>
          <w:rFonts w:hint="eastAsia" w:ascii="宋体" w:hAnsi="宋体" w:eastAsia="宋体"/>
          <w:szCs w:val="21"/>
        </w:rPr>
        <w:t>乙方</w:t>
      </w:r>
      <w:r>
        <w:rPr>
          <w:rFonts w:ascii="宋体" w:hAnsi="宋体" w:eastAsia="宋体"/>
          <w:szCs w:val="21"/>
        </w:rPr>
        <w:t>应保证相应保险的投保。</w:t>
      </w:r>
    </w:p>
    <w:p w14:paraId="307B3417">
      <w:pPr>
        <w:pStyle w:val="4"/>
        <w:spacing w:before="120" w:after="120" w:line="288" w:lineRule="auto"/>
        <w:ind w:left="360" w:firstLine="0" w:firstLineChars="0"/>
        <w:jc w:val="left"/>
        <w:rPr>
          <w:rFonts w:ascii="宋体" w:hAnsi="宋体" w:eastAsia="宋体"/>
          <w:szCs w:val="21"/>
        </w:rPr>
      </w:pPr>
    </w:p>
    <w:p w14:paraId="4E68FC45">
      <w:pPr>
        <w:pStyle w:val="4"/>
        <w:numPr>
          <w:ilvl w:val="0"/>
          <w:numId w:val="1"/>
        </w:numPr>
        <w:spacing w:before="120" w:after="120" w:line="288" w:lineRule="auto"/>
        <w:ind w:firstLineChars="0"/>
        <w:jc w:val="left"/>
        <w:rPr>
          <w:rFonts w:ascii="宋体" w:hAnsi="宋体" w:eastAsia="宋体"/>
          <w:b/>
          <w:szCs w:val="21"/>
        </w:rPr>
      </w:pPr>
      <w:r>
        <w:rPr>
          <w:rFonts w:hint="eastAsia" w:ascii="宋体" w:hAnsi="宋体" w:eastAsia="宋体"/>
          <w:b/>
          <w:szCs w:val="21"/>
        </w:rPr>
        <w:t>知识产权</w:t>
      </w:r>
    </w:p>
    <w:p w14:paraId="67FE2248">
      <w:pPr>
        <w:pStyle w:val="4"/>
        <w:numPr>
          <w:ilvl w:val="1"/>
          <w:numId w:val="10"/>
        </w:numPr>
        <w:spacing w:before="120" w:after="120" w:line="288" w:lineRule="auto"/>
        <w:ind w:firstLineChars="0"/>
        <w:jc w:val="left"/>
        <w:rPr>
          <w:rFonts w:ascii="宋体" w:hAnsi="宋体" w:eastAsia="宋体"/>
          <w:szCs w:val="21"/>
        </w:rPr>
      </w:pPr>
      <w:r>
        <w:rPr>
          <w:rFonts w:ascii="宋体" w:hAnsi="宋体" w:eastAsia="宋体" w:cs="Arial"/>
          <w:color w:val="1F2329"/>
          <w:szCs w:val="21"/>
        </w:rPr>
        <w:t>甲方的任何及所有标志和商标应为甲方和/或其关联公司（视情况而定）的独家财产，乙方不得使用。乙方或其产品的任何宣传或公关材料应事先通过电子邮件提交，并且未经甲方事先书面核准，乙方不得使用该等材料。如果该等材料包含使用甲方拥有的商标和标识的内容，乙方必须事先从甲方获得书面批准。</w:t>
      </w:r>
    </w:p>
    <w:p w14:paraId="71321F3A">
      <w:pPr>
        <w:pStyle w:val="4"/>
        <w:numPr>
          <w:ilvl w:val="1"/>
          <w:numId w:val="10"/>
        </w:numPr>
        <w:spacing w:before="120" w:after="120" w:line="288" w:lineRule="auto"/>
        <w:ind w:firstLineChars="0"/>
        <w:jc w:val="left"/>
        <w:rPr>
          <w:rFonts w:ascii="宋体" w:hAnsi="宋体" w:eastAsia="宋体"/>
          <w:szCs w:val="21"/>
        </w:rPr>
      </w:pPr>
      <w:r>
        <w:rPr>
          <w:rFonts w:ascii="宋体" w:hAnsi="宋体" w:eastAsia="宋体" w:cs="Arial"/>
          <w:color w:val="1F2329"/>
          <w:szCs w:val="21"/>
        </w:rPr>
        <w:t>乙方不得暗示与甲方存在特殊关系。除非经过甲方书面批准，乙方不得使用：(i) 甲方公司名称、产品名称的字体、（以改写或其他方式）广告语或口号；或 甲方产品的照片或图片。</w:t>
      </w:r>
    </w:p>
    <w:p w14:paraId="4A5E82EE">
      <w:pPr>
        <w:pStyle w:val="4"/>
        <w:numPr>
          <w:ilvl w:val="1"/>
          <w:numId w:val="10"/>
        </w:numPr>
        <w:spacing w:before="120" w:after="120" w:line="288" w:lineRule="auto"/>
        <w:ind w:firstLineChars="0"/>
        <w:jc w:val="left"/>
        <w:rPr>
          <w:rFonts w:ascii="宋体" w:hAnsi="宋体" w:eastAsia="宋体"/>
          <w:szCs w:val="21"/>
        </w:rPr>
      </w:pPr>
      <w:r>
        <w:rPr>
          <w:rFonts w:ascii="宋体" w:hAnsi="宋体" w:eastAsia="宋体" w:cs="Arial"/>
          <w:color w:val="1F2329"/>
          <w:szCs w:val="21"/>
        </w:rPr>
        <w:t>对甲方或其产品的提及不得造成如下印象，即甲方总体认可乙方的服务或乙方是此类服务的唯一提供商。</w:t>
      </w:r>
      <w:bookmarkStart w:id="0" w:name="heading_10"/>
      <w:bookmarkEnd w:id="0"/>
    </w:p>
    <w:p w14:paraId="63B34E78">
      <w:pPr>
        <w:pStyle w:val="4"/>
        <w:spacing w:before="120" w:after="120" w:line="288" w:lineRule="auto"/>
        <w:ind w:left="360" w:firstLine="0" w:firstLineChars="0"/>
        <w:jc w:val="left"/>
        <w:rPr>
          <w:rFonts w:ascii="宋体" w:hAnsi="宋体" w:eastAsia="宋体"/>
          <w:b/>
          <w:szCs w:val="21"/>
        </w:rPr>
      </w:pPr>
    </w:p>
    <w:p w14:paraId="19B9D472">
      <w:pPr>
        <w:pStyle w:val="4"/>
        <w:numPr>
          <w:ilvl w:val="0"/>
          <w:numId w:val="1"/>
        </w:numPr>
        <w:spacing w:before="120" w:after="120" w:line="288" w:lineRule="auto"/>
        <w:ind w:firstLineChars="0"/>
        <w:jc w:val="left"/>
        <w:rPr>
          <w:rFonts w:ascii="宋体" w:hAnsi="宋体" w:eastAsia="宋体"/>
          <w:b/>
          <w:szCs w:val="21"/>
        </w:rPr>
      </w:pPr>
      <w:r>
        <w:rPr>
          <w:rFonts w:hint="eastAsia" w:ascii="宋体" w:hAnsi="宋体" w:eastAsia="宋体"/>
          <w:b/>
          <w:szCs w:val="21"/>
        </w:rPr>
        <w:t>廉洁条款</w:t>
      </w:r>
    </w:p>
    <w:p w14:paraId="7E2814A9">
      <w:pPr>
        <w:pStyle w:val="4"/>
        <w:numPr>
          <w:ilvl w:val="1"/>
          <w:numId w:val="11"/>
        </w:numPr>
        <w:spacing w:before="120" w:after="120" w:line="288" w:lineRule="auto"/>
        <w:ind w:firstLineChars="0"/>
        <w:jc w:val="left"/>
        <w:rPr>
          <w:rFonts w:ascii="宋体" w:hAnsi="宋体" w:eastAsia="宋体"/>
          <w:szCs w:val="21"/>
        </w:rPr>
      </w:pPr>
      <w:r>
        <w:rPr>
          <w:rFonts w:hint="eastAsia" w:ascii="宋体" w:hAnsi="宋体" w:eastAsia="宋体" w:cs="Arial"/>
          <w:color w:val="1F2329"/>
          <w:szCs w:val="21"/>
        </w:rPr>
        <w:t>乙方</w:t>
      </w:r>
      <w:r>
        <w:rPr>
          <w:rFonts w:ascii="宋体" w:hAnsi="宋体" w:eastAsia="宋体" w:cs="Arial"/>
          <w:color w:val="1F2329"/>
          <w:szCs w:val="21"/>
        </w:rPr>
        <w:t>保证未向</w:t>
      </w:r>
      <w:r>
        <w:rPr>
          <w:rFonts w:hint="eastAsia" w:ascii="宋体" w:hAnsi="宋体" w:eastAsia="宋体" w:cs="Arial"/>
          <w:color w:val="1F2329"/>
          <w:szCs w:val="21"/>
        </w:rPr>
        <w:t>甲方</w:t>
      </w:r>
      <w:r>
        <w:rPr>
          <w:rFonts w:ascii="宋体" w:hAnsi="宋体" w:eastAsia="宋体" w:cs="Arial"/>
          <w:color w:val="1F2329"/>
          <w:szCs w:val="21"/>
        </w:rPr>
        <w:t>的任何员工、代理人或代表提供或赠予任何礼品，而且将来也不会提供或赠予此类物品，以便为了从</w:t>
      </w:r>
      <w:r>
        <w:rPr>
          <w:rFonts w:hint="eastAsia" w:ascii="宋体" w:hAnsi="宋体" w:eastAsia="宋体" w:cs="Arial"/>
          <w:color w:val="1F2329"/>
          <w:szCs w:val="21"/>
        </w:rPr>
        <w:t>甲方</w:t>
      </w:r>
      <w:r>
        <w:rPr>
          <w:rFonts w:ascii="宋体" w:hAnsi="宋体" w:eastAsia="宋体" w:cs="Arial"/>
          <w:color w:val="1F2329"/>
          <w:szCs w:val="21"/>
        </w:rPr>
        <w:t>获取任何业务，或为了在双方签订的任何采购协议或订单（包括但不限于本协议）条款、条件或执行方面影响上述人员。</w:t>
      </w:r>
    </w:p>
    <w:p w14:paraId="4A31D2A8">
      <w:pPr>
        <w:pStyle w:val="4"/>
        <w:numPr>
          <w:ilvl w:val="1"/>
          <w:numId w:val="11"/>
        </w:numPr>
        <w:spacing w:before="120" w:after="120" w:line="288" w:lineRule="auto"/>
        <w:ind w:firstLineChars="0"/>
        <w:jc w:val="left"/>
        <w:rPr>
          <w:rFonts w:ascii="宋体" w:hAnsi="宋体" w:eastAsia="宋体"/>
          <w:szCs w:val="21"/>
        </w:rPr>
      </w:pPr>
      <w:r>
        <w:rPr>
          <w:rFonts w:hint="eastAsia" w:ascii="宋体" w:hAnsi="宋体" w:eastAsia="宋体" w:cs="Arial"/>
          <w:color w:val="1F2329"/>
          <w:szCs w:val="21"/>
        </w:rPr>
        <w:t>乙方</w:t>
      </w:r>
      <w:r>
        <w:rPr>
          <w:rFonts w:ascii="宋体" w:hAnsi="宋体" w:eastAsia="宋体" w:cs="Arial"/>
          <w:color w:val="1F2329"/>
          <w:szCs w:val="21"/>
        </w:rPr>
        <w:t>保证并承诺，其将严格遵守中国现行反商业贿赂法律法规相关规定，在履行本协议过程中不向任何政府官员、国有企业雇员或公共机构人员提供任何贿赂。违反此条约定视为严重违约。</w:t>
      </w:r>
    </w:p>
    <w:p w14:paraId="0CD2F0AC">
      <w:pPr>
        <w:pStyle w:val="4"/>
        <w:numPr>
          <w:ilvl w:val="1"/>
          <w:numId w:val="11"/>
        </w:numPr>
        <w:spacing w:before="120" w:after="120" w:line="288" w:lineRule="auto"/>
        <w:ind w:firstLineChars="0"/>
        <w:jc w:val="left"/>
        <w:rPr>
          <w:rFonts w:ascii="宋体" w:hAnsi="宋体" w:eastAsia="宋体"/>
          <w:szCs w:val="21"/>
        </w:rPr>
      </w:pPr>
      <w:r>
        <w:rPr>
          <w:rFonts w:ascii="宋体" w:hAnsi="宋体" w:eastAsia="宋体" w:cs="Arial"/>
          <w:color w:val="1F2329"/>
          <w:szCs w:val="21"/>
        </w:rPr>
        <w:t>所称“贿赂”是指以腐败为意图，以任何形式给予财物或其他有价物的行为，包括不限于：（1）金钱方式（如现金、银行卡、有价证券、购物卡、礼品卡、低于市场价的贷款或其他优惠、不当的慈善与捐赠等）；（2）实物方式（如赠送或借予高档生活用品、奢侈消费品、工艺品、汽车、住房等）；（3）消费方式（如娱乐消费、旅游等）；（4）账外予以折扣。</w:t>
      </w:r>
    </w:p>
    <w:p w14:paraId="7F83069D">
      <w:pPr>
        <w:pStyle w:val="4"/>
        <w:numPr>
          <w:ilvl w:val="1"/>
          <w:numId w:val="11"/>
        </w:numPr>
        <w:spacing w:before="120" w:after="120" w:line="288" w:lineRule="auto"/>
        <w:ind w:firstLineChars="0"/>
        <w:jc w:val="left"/>
        <w:rPr>
          <w:rFonts w:ascii="宋体" w:hAnsi="宋体" w:eastAsia="宋体"/>
          <w:szCs w:val="21"/>
        </w:rPr>
      </w:pPr>
      <w:r>
        <w:rPr>
          <w:rFonts w:ascii="宋体" w:hAnsi="宋体" w:eastAsia="宋体" w:cs="Arial"/>
          <w:color w:val="1F2329"/>
          <w:szCs w:val="21"/>
        </w:rPr>
        <w:t>若</w:t>
      </w:r>
      <w:r>
        <w:rPr>
          <w:rFonts w:hint="eastAsia" w:ascii="宋体" w:hAnsi="宋体" w:eastAsia="宋体" w:cs="Arial"/>
          <w:color w:val="1F2329"/>
          <w:szCs w:val="21"/>
        </w:rPr>
        <w:t>乙方</w:t>
      </w:r>
      <w:r>
        <w:rPr>
          <w:rFonts w:ascii="宋体" w:hAnsi="宋体" w:eastAsia="宋体" w:cs="Arial"/>
          <w:color w:val="1F2329"/>
          <w:szCs w:val="21"/>
        </w:rPr>
        <w:t>或其相关方违反前述条款或</w:t>
      </w:r>
      <w:r>
        <w:rPr>
          <w:rFonts w:hint="eastAsia" w:ascii="宋体" w:hAnsi="宋体" w:eastAsia="宋体" w:cs="Arial"/>
          <w:color w:val="1F2329"/>
          <w:szCs w:val="21"/>
        </w:rPr>
        <w:t>甲方</w:t>
      </w:r>
      <w:r>
        <w:rPr>
          <w:rFonts w:ascii="宋体" w:hAnsi="宋体" w:eastAsia="宋体" w:cs="Arial"/>
          <w:color w:val="1F2329"/>
          <w:szCs w:val="21"/>
        </w:rPr>
        <w:t>有合理理由认为</w:t>
      </w:r>
      <w:r>
        <w:rPr>
          <w:rFonts w:hint="eastAsia" w:ascii="宋体" w:hAnsi="宋体" w:eastAsia="宋体" w:cs="Arial"/>
          <w:color w:val="1F2329"/>
          <w:szCs w:val="21"/>
        </w:rPr>
        <w:t>乙方</w:t>
      </w:r>
      <w:r>
        <w:rPr>
          <w:rFonts w:ascii="宋体" w:hAnsi="宋体" w:eastAsia="宋体" w:cs="Arial"/>
          <w:color w:val="1F2329"/>
          <w:szCs w:val="21"/>
        </w:rPr>
        <w:t>或其相关方存在违反前述条款的风险，包括但不限于拒绝配合合规监督或审计、</w:t>
      </w:r>
      <w:r>
        <w:rPr>
          <w:rFonts w:hint="eastAsia" w:ascii="宋体" w:hAnsi="宋体" w:eastAsia="宋体" w:cs="Arial"/>
          <w:color w:val="1F2329"/>
          <w:szCs w:val="21"/>
        </w:rPr>
        <w:t>乙方</w:t>
      </w:r>
      <w:r>
        <w:rPr>
          <w:rFonts w:ascii="宋体" w:hAnsi="宋体" w:eastAsia="宋体" w:cs="Arial"/>
          <w:color w:val="1F2329"/>
          <w:szCs w:val="21"/>
        </w:rPr>
        <w:t>相关财务记录明显不准确、存在任何虚假或欺骗性声明/陈述/保证、或行受贿嫌疑等情形，</w:t>
      </w:r>
      <w:r>
        <w:rPr>
          <w:rFonts w:hint="eastAsia" w:ascii="宋体" w:hAnsi="宋体" w:eastAsia="宋体" w:cs="Arial"/>
          <w:color w:val="1F2329"/>
          <w:szCs w:val="21"/>
        </w:rPr>
        <w:t>甲方</w:t>
      </w:r>
      <w:r>
        <w:rPr>
          <w:rFonts w:ascii="宋体" w:hAnsi="宋体" w:eastAsia="宋体" w:cs="Arial"/>
          <w:color w:val="1F2329"/>
          <w:szCs w:val="21"/>
        </w:rPr>
        <w:t>有权中止支付对</w:t>
      </w:r>
      <w:r>
        <w:rPr>
          <w:rFonts w:hint="eastAsia" w:ascii="宋体" w:hAnsi="宋体" w:eastAsia="宋体" w:cs="Arial"/>
          <w:color w:val="1F2329"/>
          <w:szCs w:val="21"/>
        </w:rPr>
        <w:t>乙方</w:t>
      </w:r>
      <w:r>
        <w:rPr>
          <w:rFonts w:ascii="宋体" w:hAnsi="宋体" w:eastAsia="宋体" w:cs="Arial"/>
          <w:color w:val="1F2329"/>
          <w:szCs w:val="21"/>
        </w:rPr>
        <w:t>的所有应付款项，并有权立即单方面部分或全部终止与</w:t>
      </w:r>
      <w:r>
        <w:rPr>
          <w:rFonts w:hint="eastAsia" w:ascii="宋体" w:hAnsi="宋体" w:eastAsia="宋体" w:cs="Arial"/>
          <w:color w:val="1F2329"/>
          <w:szCs w:val="21"/>
        </w:rPr>
        <w:t>乙方</w:t>
      </w:r>
      <w:r>
        <w:rPr>
          <w:rFonts w:ascii="宋体" w:hAnsi="宋体" w:eastAsia="宋体" w:cs="Arial"/>
          <w:color w:val="1F2329"/>
          <w:szCs w:val="21"/>
        </w:rPr>
        <w:t>的一切合作。</w:t>
      </w:r>
      <w:r>
        <w:rPr>
          <w:rFonts w:hint="eastAsia" w:ascii="宋体" w:hAnsi="宋体" w:eastAsia="宋体" w:cs="Arial"/>
          <w:color w:val="1F2329"/>
          <w:szCs w:val="21"/>
        </w:rPr>
        <w:t>乙方</w:t>
      </w:r>
      <w:r>
        <w:rPr>
          <w:rFonts w:ascii="宋体" w:hAnsi="宋体" w:eastAsia="宋体" w:cs="Arial"/>
          <w:color w:val="1F2329"/>
          <w:szCs w:val="21"/>
        </w:rPr>
        <w:t>还应向</w:t>
      </w:r>
      <w:r>
        <w:rPr>
          <w:rFonts w:hint="eastAsia" w:ascii="宋体" w:hAnsi="宋体" w:eastAsia="宋体" w:cs="Arial"/>
          <w:color w:val="1F2329"/>
          <w:szCs w:val="21"/>
        </w:rPr>
        <w:t>甲方</w:t>
      </w:r>
      <w:r>
        <w:rPr>
          <w:rFonts w:ascii="宋体" w:hAnsi="宋体" w:eastAsia="宋体" w:cs="Arial"/>
          <w:color w:val="1F2329"/>
          <w:szCs w:val="21"/>
        </w:rPr>
        <w:t>支付所涉合同总金额的30%（若相关法律法规规定更高比例，则适用该更高比例）作为违约金。若前述违约金金额不足人民币十万元，以人民币十万元为准。</w:t>
      </w:r>
      <w:r>
        <w:rPr>
          <w:rFonts w:hint="eastAsia" w:ascii="宋体" w:hAnsi="宋体" w:eastAsia="宋体" w:cs="Arial"/>
          <w:color w:val="1F2329"/>
          <w:szCs w:val="21"/>
        </w:rPr>
        <w:t>甲方</w:t>
      </w:r>
      <w:r>
        <w:rPr>
          <w:rFonts w:ascii="宋体" w:hAnsi="宋体" w:eastAsia="宋体" w:cs="Arial"/>
          <w:color w:val="1F2329"/>
          <w:szCs w:val="21"/>
        </w:rPr>
        <w:t>有权从合同款项中直接扣除</w:t>
      </w:r>
      <w:r>
        <w:rPr>
          <w:rFonts w:hint="eastAsia" w:ascii="宋体" w:hAnsi="宋体" w:eastAsia="宋体" w:cs="Arial"/>
          <w:color w:val="1F2329"/>
          <w:szCs w:val="21"/>
        </w:rPr>
        <w:t>乙方</w:t>
      </w:r>
      <w:r>
        <w:rPr>
          <w:rFonts w:ascii="宋体" w:hAnsi="宋体" w:eastAsia="宋体" w:cs="Arial"/>
          <w:color w:val="1F2329"/>
          <w:szCs w:val="21"/>
        </w:rPr>
        <w:t>应当承担的违约金，或</w:t>
      </w:r>
      <w:r>
        <w:rPr>
          <w:rFonts w:hint="eastAsia" w:ascii="宋体" w:hAnsi="宋体" w:eastAsia="宋体" w:cs="Arial"/>
          <w:color w:val="1F2329"/>
          <w:szCs w:val="21"/>
        </w:rPr>
        <w:t>甲方</w:t>
      </w:r>
      <w:r>
        <w:rPr>
          <w:rFonts w:ascii="宋体" w:hAnsi="宋体" w:eastAsia="宋体" w:cs="Arial"/>
          <w:color w:val="1F2329"/>
          <w:szCs w:val="21"/>
        </w:rPr>
        <w:t>有权解除本协议。</w:t>
      </w:r>
    </w:p>
    <w:p w14:paraId="528F70B3">
      <w:pPr>
        <w:pStyle w:val="4"/>
        <w:numPr>
          <w:ilvl w:val="1"/>
          <w:numId w:val="11"/>
        </w:numPr>
        <w:spacing w:before="120" w:after="120" w:line="288" w:lineRule="auto"/>
        <w:ind w:firstLineChars="0"/>
        <w:jc w:val="left"/>
        <w:rPr>
          <w:rFonts w:ascii="宋体" w:hAnsi="宋体" w:eastAsia="宋体"/>
          <w:szCs w:val="21"/>
        </w:rPr>
      </w:pPr>
      <w:r>
        <w:rPr>
          <w:rFonts w:hint="eastAsia" w:ascii="宋体" w:hAnsi="宋体" w:eastAsia="宋体" w:cs="Arial"/>
          <w:color w:val="1F2329"/>
          <w:szCs w:val="21"/>
        </w:rPr>
        <w:t>乙方</w:t>
      </w:r>
      <w:r>
        <w:rPr>
          <w:rFonts w:ascii="宋体" w:hAnsi="宋体" w:eastAsia="宋体" w:cs="Arial"/>
          <w:color w:val="1F2329"/>
          <w:szCs w:val="21"/>
        </w:rPr>
        <w:t>及其相关方应自行承担违反前述条款的全部责任。若</w:t>
      </w:r>
      <w:r>
        <w:rPr>
          <w:rFonts w:hint="eastAsia" w:ascii="宋体" w:hAnsi="宋体" w:eastAsia="宋体" w:cs="Arial"/>
          <w:color w:val="1F2329"/>
          <w:szCs w:val="21"/>
        </w:rPr>
        <w:t>甲方</w:t>
      </w:r>
      <w:r>
        <w:rPr>
          <w:rFonts w:ascii="宋体" w:hAnsi="宋体" w:eastAsia="宋体" w:cs="Arial"/>
          <w:color w:val="1F2329"/>
          <w:szCs w:val="21"/>
        </w:rPr>
        <w:t>因</w:t>
      </w:r>
      <w:r>
        <w:rPr>
          <w:rFonts w:hint="eastAsia" w:ascii="宋体" w:hAnsi="宋体" w:eastAsia="宋体" w:cs="Arial"/>
          <w:color w:val="1F2329"/>
          <w:szCs w:val="21"/>
        </w:rPr>
        <w:t>乙方</w:t>
      </w:r>
      <w:r>
        <w:rPr>
          <w:rFonts w:ascii="宋体" w:hAnsi="宋体" w:eastAsia="宋体" w:cs="Arial"/>
          <w:color w:val="1F2329"/>
          <w:szCs w:val="21"/>
        </w:rPr>
        <w:t>违反前述条款遭受任何损失、损害、索赔或罚款，</w:t>
      </w:r>
      <w:r>
        <w:rPr>
          <w:rFonts w:hint="eastAsia" w:ascii="宋体" w:hAnsi="宋体" w:eastAsia="宋体" w:cs="Arial"/>
          <w:color w:val="1F2329"/>
          <w:szCs w:val="21"/>
        </w:rPr>
        <w:t>乙方</w:t>
      </w:r>
      <w:r>
        <w:rPr>
          <w:rFonts w:ascii="宋体" w:hAnsi="宋体" w:eastAsia="宋体" w:cs="Arial"/>
          <w:color w:val="1F2329"/>
          <w:szCs w:val="21"/>
        </w:rPr>
        <w:t>应对</w:t>
      </w:r>
      <w:r>
        <w:rPr>
          <w:rFonts w:hint="eastAsia" w:ascii="宋体" w:hAnsi="宋体" w:eastAsia="宋体" w:cs="Arial"/>
          <w:color w:val="1F2329"/>
          <w:szCs w:val="21"/>
        </w:rPr>
        <w:t>甲方</w:t>
      </w:r>
      <w:r>
        <w:rPr>
          <w:rFonts w:ascii="宋体" w:hAnsi="宋体" w:eastAsia="宋体" w:cs="Arial"/>
          <w:color w:val="1F2329"/>
          <w:szCs w:val="21"/>
        </w:rPr>
        <w:t>进行赔偿、辩护并使</w:t>
      </w:r>
      <w:r>
        <w:rPr>
          <w:rFonts w:hint="eastAsia" w:ascii="宋体" w:hAnsi="宋体" w:eastAsia="宋体" w:cs="Arial"/>
          <w:color w:val="1F2329"/>
          <w:szCs w:val="21"/>
        </w:rPr>
        <w:t>甲方</w:t>
      </w:r>
      <w:r>
        <w:rPr>
          <w:rFonts w:ascii="宋体" w:hAnsi="宋体" w:eastAsia="宋体" w:cs="Arial"/>
          <w:color w:val="1F2329"/>
          <w:szCs w:val="21"/>
        </w:rPr>
        <w:t>免于承担任何责任，</w:t>
      </w:r>
      <w:r>
        <w:rPr>
          <w:rFonts w:hint="eastAsia" w:ascii="宋体" w:hAnsi="宋体" w:eastAsia="宋体" w:cs="Arial"/>
          <w:color w:val="1F2329"/>
          <w:szCs w:val="21"/>
        </w:rPr>
        <w:t>甲方</w:t>
      </w:r>
      <w:r>
        <w:rPr>
          <w:rFonts w:ascii="宋体" w:hAnsi="宋体" w:eastAsia="宋体" w:cs="Arial"/>
          <w:color w:val="1F2329"/>
          <w:szCs w:val="21"/>
        </w:rPr>
        <w:t>将保留追究</w:t>
      </w:r>
      <w:r>
        <w:rPr>
          <w:rFonts w:hint="eastAsia" w:ascii="宋体" w:hAnsi="宋体" w:eastAsia="宋体" w:cs="Arial"/>
          <w:color w:val="1F2329"/>
          <w:szCs w:val="21"/>
        </w:rPr>
        <w:t>乙方</w:t>
      </w:r>
      <w:r>
        <w:rPr>
          <w:rFonts w:ascii="宋体" w:hAnsi="宋体" w:eastAsia="宋体" w:cs="Arial"/>
          <w:color w:val="1F2329"/>
          <w:szCs w:val="21"/>
        </w:rPr>
        <w:t xml:space="preserve">及其直接责任人民事及/或刑事法律责任的一切权利。 </w:t>
      </w:r>
    </w:p>
    <w:p w14:paraId="2BB1566A">
      <w:pPr>
        <w:spacing w:before="120" w:after="120" w:line="288" w:lineRule="auto"/>
        <w:jc w:val="left"/>
        <w:rPr>
          <w:rFonts w:ascii="宋体" w:hAnsi="宋体" w:eastAsia="宋体"/>
          <w:b/>
          <w:szCs w:val="21"/>
        </w:rPr>
      </w:pPr>
    </w:p>
    <w:p w14:paraId="1B1478FE">
      <w:pPr>
        <w:pStyle w:val="4"/>
        <w:numPr>
          <w:ilvl w:val="0"/>
          <w:numId w:val="1"/>
        </w:numPr>
        <w:spacing w:before="120" w:after="120" w:line="288" w:lineRule="auto"/>
        <w:ind w:firstLineChars="0"/>
        <w:jc w:val="left"/>
        <w:rPr>
          <w:rFonts w:ascii="宋体" w:hAnsi="宋体" w:eastAsia="宋体"/>
          <w:b/>
          <w:szCs w:val="21"/>
        </w:rPr>
      </w:pPr>
      <w:r>
        <w:rPr>
          <w:rFonts w:hint="eastAsia" w:ascii="宋体" w:hAnsi="宋体" w:eastAsia="宋体"/>
          <w:b/>
          <w:szCs w:val="21"/>
        </w:rPr>
        <w:t>信息安全</w:t>
      </w:r>
    </w:p>
    <w:p w14:paraId="150C32A6">
      <w:pPr>
        <w:pStyle w:val="4"/>
        <w:numPr>
          <w:ilvl w:val="1"/>
          <w:numId w:val="12"/>
        </w:numPr>
        <w:spacing w:before="120" w:after="120" w:line="288" w:lineRule="auto"/>
        <w:ind w:firstLineChars="0"/>
        <w:jc w:val="left"/>
        <w:rPr>
          <w:rFonts w:ascii="宋体" w:hAnsi="宋体" w:eastAsia="宋体"/>
          <w:szCs w:val="21"/>
        </w:rPr>
      </w:pPr>
      <w:r>
        <w:rPr>
          <w:rFonts w:ascii="宋体" w:hAnsi="宋体" w:eastAsia="宋体" w:cs="Arial"/>
          <w:szCs w:val="21"/>
        </w:rPr>
        <w:t>产品安全要求</w:t>
      </w:r>
    </w:p>
    <w:p w14:paraId="698E0D8D">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乙方提供的产品</w:t>
      </w:r>
      <w:r>
        <w:rPr>
          <w:rFonts w:hint="eastAsia" w:ascii="宋体" w:hAnsi="宋体" w:eastAsia="宋体" w:cs="Arial"/>
          <w:szCs w:val="21"/>
        </w:rPr>
        <w:t>及服务</w:t>
      </w:r>
      <w:r>
        <w:rPr>
          <w:rFonts w:ascii="宋体" w:hAnsi="宋体" w:eastAsia="宋体" w:cs="Arial"/>
          <w:szCs w:val="21"/>
        </w:rPr>
        <w:t>应满足《数据安全法》《网络安全法》《个人信息保护法》等相关法律法规要求，满足数据安全、系统安全领域强制性国家标准要求，应满足甲方安全要求，不得含有任何的木马、后门、蠕虫、病毒、恶意代码、未知功能及未知权限。</w:t>
      </w:r>
    </w:p>
    <w:p w14:paraId="67A9A14E">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乙方提供的产品</w:t>
      </w:r>
      <w:r>
        <w:rPr>
          <w:rFonts w:hint="eastAsia" w:ascii="宋体" w:hAnsi="宋体" w:eastAsia="宋体" w:cs="Arial"/>
          <w:szCs w:val="21"/>
        </w:rPr>
        <w:t>及服务</w:t>
      </w:r>
      <w:r>
        <w:rPr>
          <w:rFonts w:ascii="宋体" w:hAnsi="宋体" w:eastAsia="宋体" w:cs="Arial"/>
          <w:szCs w:val="21"/>
        </w:rPr>
        <w:t>其所有功能特性须向甲方说明，特别是任何可能侵犯个人隐私和通信自由的功能， 包括但不限于深度报文检测、干扰、抓取、转发业务流量等。</w:t>
      </w:r>
    </w:p>
    <w:p w14:paraId="60DA36EB">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乙方提供的产品其所有端口需向甲方说明，不得存在隐藏端口。开启的端口应是系统运行及维护所必需的，无用的端口应关闭。 开启/关闭端口需有权限控制，且开启/关闭的方法应向甲方说明。</w:t>
      </w:r>
    </w:p>
    <w:p w14:paraId="165AFD24">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乙方提供的产品</w:t>
      </w:r>
      <w:r>
        <w:rPr>
          <w:rFonts w:hint="eastAsia" w:ascii="宋体" w:hAnsi="宋体" w:eastAsia="宋体" w:cs="Arial"/>
          <w:szCs w:val="21"/>
        </w:rPr>
        <w:t>及服务</w:t>
      </w:r>
      <w:r>
        <w:rPr>
          <w:rFonts w:ascii="宋体" w:hAnsi="宋体" w:eastAsia="宋体" w:cs="Arial"/>
          <w:szCs w:val="21"/>
        </w:rPr>
        <w:t>若具有储存或传送数据的功能，则乙方须对产品的口令、敏感个人数据的储存和传送过程需配合甲方进行安全防护。不得攻击、破坏甲方或数据主体的网络、不得窃取甲方或数据主体网络中的任何数据或信息、不得破解甲方或数据主体的账户密码。</w:t>
      </w:r>
    </w:p>
    <w:p w14:paraId="683A9673">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乙方提供的产品若含有密码算法，乙方须提供密码算法清单。且密码算法强度需要满足甲方需求，不满足需求的，需配合整改，确实无法整改的，需要提供说明，不得使用私有或已知不安全的加密算法。</w:t>
      </w:r>
    </w:p>
    <w:p w14:paraId="74F5CE22">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乙方提供的产品若含有软件(包括但不限于乙方自研软件、第三方商用软件、开源软件等)升级的功能， 须向甲方说明， 且客户/最终用户有权决定是否使用或关闭此功能。</w:t>
      </w:r>
    </w:p>
    <w:p w14:paraId="3FFA2391">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乙方提供的产品应经过严格的安全扫描以及渗透性测试，并出具完整的安全测试报告，对于已知的高风险漏洞，须在正式交付前完成修复，并提供产品的软件组件清单(包括但不限于乙方自研组件、第三方商用组件、开源组件)。</w:t>
      </w:r>
    </w:p>
    <w:p w14:paraId="6645F066">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乙方应保障其产品在生命周期内得到持续安全更新。对于乙方自己发现或甲方发现的漏洞(包括但不限于乙方自研组件、第三方商用组件、开源组件)，须按照如下漏洞处理标准及时修复。</w:t>
      </w:r>
    </w:p>
    <w:tbl>
      <w:tblPr>
        <w:tblStyle w:val="2"/>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1695"/>
        <w:gridCol w:w="1230"/>
        <w:gridCol w:w="1230"/>
        <w:gridCol w:w="1440"/>
        <w:gridCol w:w="1365"/>
        <w:gridCol w:w="1305"/>
      </w:tblGrid>
      <w:tr w14:paraId="14D3C23F">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2925" w:type="dxa"/>
            <w:gridSpan w:val="2"/>
            <w:tcMar>
              <w:top w:w="60" w:type="dxa"/>
              <w:left w:w="120" w:type="dxa"/>
              <w:bottom w:w="30" w:type="dxa"/>
              <w:right w:w="120" w:type="dxa"/>
            </w:tcMar>
          </w:tcPr>
          <w:p w14:paraId="63BCDFEC">
            <w:pPr>
              <w:spacing w:before="120" w:after="120" w:line="288" w:lineRule="auto"/>
              <w:jc w:val="left"/>
              <w:rPr>
                <w:rFonts w:ascii="宋体" w:hAnsi="宋体" w:eastAsia="宋体"/>
                <w:szCs w:val="21"/>
              </w:rPr>
            </w:pPr>
          </w:p>
        </w:tc>
        <w:tc>
          <w:tcPr>
            <w:tcW w:w="1230" w:type="dxa"/>
            <w:tcMar>
              <w:top w:w="60" w:type="dxa"/>
              <w:left w:w="120" w:type="dxa"/>
              <w:bottom w:w="30" w:type="dxa"/>
              <w:right w:w="120" w:type="dxa"/>
            </w:tcMar>
          </w:tcPr>
          <w:p w14:paraId="04B18F08">
            <w:pPr>
              <w:spacing w:before="120" w:after="120" w:line="288" w:lineRule="auto"/>
              <w:jc w:val="center"/>
              <w:rPr>
                <w:rFonts w:ascii="宋体" w:hAnsi="宋体" w:eastAsia="宋体"/>
                <w:szCs w:val="21"/>
              </w:rPr>
            </w:pPr>
            <w:r>
              <w:rPr>
                <w:rFonts w:ascii="宋体" w:hAnsi="宋体" w:eastAsia="宋体" w:cs="Arial"/>
                <w:szCs w:val="21"/>
              </w:rPr>
              <w:t>严重</w:t>
            </w:r>
          </w:p>
        </w:tc>
        <w:tc>
          <w:tcPr>
            <w:tcW w:w="1440" w:type="dxa"/>
            <w:tcMar>
              <w:top w:w="60" w:type="dxa"/>
              <w:left w:w="120" w:type="dxa"/>
              <w:bottom w:w="30" w:type="dxa"/>
              <w:right w:w="120" w:type="dxa"/>
            </w:tcMar>
          </w:tcPr>
          <w:p w14:paraId="1D46846E">
            <w:pPr>
              <w:spacing w:before="120" w:after="120" w:line="288" w:lineRule="auto"/>
              <w:jc w:val="center"/>
              <w:rPr>
                <w:rFonts w:ascii="宋体" w:hAnsi="宋体" w:eastAsia="宋体"/>
                <w:szCs w:val="21"/>
              </w:rPr>
            </w:pPr>
            <w:r>
              <w:rPr>
                <w:rFonts w:ascii="宋体" w:hAnsi="宋体" w:eastAsia="宋体" w:cs="Arial"/>
                <w:szCs w:val="21"/>
              </w:rPr>
              <w:t>高危</w:t>
            </w:r>
          </w:p>
        </w:tc>
        <w:tc>
          <w:tcPr>
            <w:tcW w:w="1365" w:type="dxa"/>
            <w:tcMar>
              <w:top w:w="60" w:type="dxa"/>
              <w:left w:w="120" w:type="dxa"/>
              <w:bottom w:w="30" w:type="dxa"/>
              <w:right w:w="120" w:type="dxa"/>
            </w:tcMar>
          </w:tcPr>
          <w:p w14:paraId="07768461">
            <w:pPr>
              <w:spacing w:before="120" w:after="120" w:line="288" w:lineRule="auto"/>
              <w:jc w:val="center"/>
              <w:rPr>
                <w:rFonts w:ascii="宋体" w:hAnsi="宋体" w:eastAsia="宋体"/>
                <w:szCs w:val="21"/>
              </w:rPr>
            </w:pPr>
            <w:r>
              <w:rPr>
                <w:rFonts w:ascii="宋体" w:hAnsi="宋体" w:eastAsia="宋体" w:cs="Arial"/>
                <w:szCs w:val="21"/>
              </w:rPr>
              <w:t>中危</w:t>
            </w:r>
          </w:p>
        </w:tc>
        <w:tc>
          <w:tcPr>
            <w:tcW w:w="1305" w:type="dxa"/>
            <w:tcMar>
              <w:top w:w="60" w:type="dxa"/>
              <w:left w:w="120" w:type="dxa"/>
              <w:bottom w:w="30" w:type="dxa"/>
              <w:right w:w="120" w:type="dxa"/>
            </w:tcMar>
          </w:tcPr>
          <w:p w14:paraId="55A66C3E">
            <w:pPr>
              <w:spacing w:before="120" w:after="120" w:line="288" w:lineRule="auto"/>
              <w:jc w:val="center"/>
              <w:rPr>
                <w:rFonts w:ascii="宋体" w:hAnsi="宋体" w:eastAsia="宋体"/>
                <w:szCs w:val="21"/>
              </w:rPr>
            </w:pPr>
            <w:r>
              <w:rPr>
                <w:rFonts w:ascii="宋体" w:hAnsi="宋体" w:eastAsia="宋体" w:cs="Arial"/>
                <w:szCs w:val="21"/>
              </w:rPr>
              <w:t>低危</w:t>
            </w:r>
          </w:p>
        </w:tc>
      </w:tr>
      <w:tr w14:paraId="1D118434">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2925" w:type="dxa"/>
            <w:gridSpan w:val="2"/>
            <w:tcMar>
              <w:top w:w="60" w:type="dxa"/>
              <w:left w:w="120" w:type="dxa"/>
              <w:bottom w:w="30" w:type="dxa"/>
              <w:right w:w="120" w:type="dxa"/>
            </w:tcMar>
          </w:tcPr>
          <w:p w14:paraId="4971F603">
            <w:pPr>
              <w:spacing w:before="120" w:after="120" w:line="288" w:lineRule="auto"/>
              <w:jc w:val="center"/>
              <w:rPr>
                <w:rFonts w:ascii="宋体" w:hAnsi="宋体" w:eastAsia="宋体"/>
                <w:szCs w:val="21"/>
              </w:rPr>
            </w:pPr>
            <w:r>
              <w:rPr>
                <w:rFonts w:ascii="宋体" w:hAnsi="宋体" w:eastAsia="宋体" w:cs="Arial"/>
                <w:b/>
                <w:szCs w:val="21"/>
              </w:rPr>
              <w:t>云端</w:t>
            </w:r>
          </w:p>
        </w:tc>
        <w:tc>
          <w:tcPr>
            <w:tcW w:w="1230" w:type="dxa"/>
            <w:tcMar>
              <w:top w:w="60" w:type="dxa"/>
              <w:left w:w="120" w:type="dxa"/>
              <w:bottom w:w="30" w:type="dxa"/>
              <w:right w:w="120" w:type="dxa"/>
            </w:tcMar>
          </w:tcPr>
          <w:p w14:paraId="2E573C8D">
            <w:pPr>
              <w:spacing w:before="120" w:after="120" w:line="288" w:lineRule="auto"/>
              <w:jc w:val="center"/>
              <w:rPr>
                <w:rFonts w:ascii="宋体" w:hAnsi="宋体" w:eastAsia="宋体"/>
                <w:szCs w:val="21"/>
              </w:rPr>
            </w:pPr>
            <w:r>
              <w:rPr>
                <w:rFonts w:ascii="宋体" w:hAnsi="宋体" w:eastAsia="宋体" w:cs="Arial"/>
                <w:szCs w:val="21"/>
              </w:rPr>
              <w:t>24小时</w:t>
            </w:r>
          </w:p>
        </w:tc>
        <w:tc>
          <w:tcPr>
            <w:tcW w:w="1440" w:type="dxa"/>
            <w:tcMar>
              <w:top w:w="60" w:type="dxa"/>
              <w:left w:w="120" w:type="dxa"/>
              <w:bottom w:w="30" w:type="dxa"/>
              <w:right w:w="120" w:type="dxa"/>
            </w:tcMar>
          </w:tcPr>
          <w:p w14:paraId="78C4AF1F">
            <w:pPr>
              <w:spacing w:before="120" w:after="120" w:line="288" w:lineRule="auto"/>
              <w:jc w:val="center"/>
              <w:rPr>
                <w:rFonts w:ascii="宋体" w:hAnsi="宋体" w:eastAsia="宋体"/>
                <w:szCs w:val="21"/>
              </w:rPr>
            </w:pPr>
            <w:r>
              <w:rPr>
                <w:rFonts w:ascii="宋体" w:hAnsi="宋体" w:eastAsia="宋体" w:cs="Arial"/>
                <w:szCs w:val="21"/>
              </w:rPr>
              <w:t>48小时</w:t>
            </w:r>
          </w:p>
        </w:tc>
        <w:tc>
          <w:tcPr>
            <w:tcW w:w="1365" w:type="dxa"/>
            <w:tcMar>
              <w:top w:w="60" w:type="dxa"/>
              <w:left w:w="120" w:type="dxa"/>
              <w:bottom w:w="30" w:type="dxa"/>
              <w:right w:w="120" w:type="dxa"/>
            </w:tcMar>
          </w:tcPr>
          <w:p w14:paraId="4F4803D5">
            <w:pPr>
              <w:spacing w:before="120" w:after="120" w:line="288" w:lineRule="auto"/>
              <w:jc w:val="center"/>
              <w:rPr>
                <w:rFonts w:ascii="宋体" w:hAnsi="宋体" w:eastAsia="宋体"/>
                <w:szCs w:val="21"/>
              </w:rPr>
            </w:pPr>
            <w:r>
              <w:rPr>
                <w:rFonts w:ascii="宋体" w:hAnsi="宋体" w:eastAsia="宋体" w:cs="Arial"/>
                <w:szCs w:val="21"/>
              </w:rPr>
              <w:t>7天</w:t>
            </w:r>
          </w:p>
        </w:tc>
        <w:tc>
          <w:tcPr>
            <w:tcW w:w="1305" w:type="dxa"/>
            <w:tcMar>
              <w:top w:w="60" w:type="dxa"/>
              <w:left w:w="120" w:type="dxa"/>
              <w:bottom w:w="30" w:type="dxa"/>
              <w:right w:w="120" w:type="dxa"/>
            </w:tcMar>
          </w:tcPr>
          <w:p w14:paraId="4437D5EC">
            <w:pPr>
              <w:spacing w:before="120" w:after="120" w:line="288" w:lineRule="auto"/>
              <w:jc w:val="center"/>
              <w:rPr>
                <w:rFonts w:ascii="宋体" w:hAnsi="宋体" w:eastAsia="宋体"/>
                <w:szCs w:val="21"/>
              </w:rPr>
            </w:pPr>
            <w:r>
              <w:rPr>
                <w:rFonts w:ascii="宋体" w:hAnsi="宋体" w:eastAsia="宋体" w:cs="Arial"/>
                <w:szCs w:val="21"/>
              </w:rPr>
              <w:t>14天</w:t>
            </w:r>
          </w:p>
        </w:tc>
      </w:tr>
      <w:tr w14:paraId="7CC5CD00">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695" w:type="dxa"/>
            <w:vMerge w:val="restart"/>
            <w:tcMar>
              <w:top w:w="60" w:type="dxa"/>
              <w:left w:w="120" w:type="dxa"/>
              <w:bottom w:w="30" w:type="dxa"/>
              <w:right w:w="120" w:type="dxa"/>
            </w:tcMar>
          </w:tcPr>
          <w:p w14:paraId="25B81A57">
            <w:pPr>
              <w:spacing w:before="120" w:after="120" w:line="288" w:lineRule="auto"/>
              <w:jc w:val="center"/>
              <w:rPr>
                <w:rFonts w:ascii="宋体" w:hAnsi="宋体" w:eastAsia="宋体"/>
                <w:szCs w:val="21"/>
              </w:rPr>
            </w:pPr>
            <w:r>
              <w:rPr>
                <w:rFonts w:ascii="宋体" w:hAnsi="宋体" w:eastAsia="宋体" w:cs="Arial"/>
                <w:b/>
                <w:szCs w:val="21"/>
              </w:rPr>
              <w:t>App</w:t>
            </w:r>
          </w:p>
        </w:tc>
        <w:tc>
          <w:tcPr>
            <w:tcW w:w="1230" w:type="dxa"/>
            <w:tcMar>
              <w:top w:w="60" w:type="dxa"/>
              <w:left w:w="120" w:type="dxa"/>
              <w:bottom w:w="30" w:type="dxa"/>
              <w:right w:w="120" w:type="dxa"/>
            </w:tcMar>
          </w:tcPr>
          <w:p w14:paraId="418DBC52">
            <w:pPr>
              <w:spacing w:before="120" w:after="120" w:line="288" w:lineRule="auto"/>
              <w:jc w:val="center"/>
              <w:rPr>
                <w:rFonts w:ascii="宋体" w:hAnsi="宋体" w:eastAsia="宋体"/>
                <w:szCs w:val="21"/>
              </w:rPr>
            </w:pPr>
            <w:r>
              <w:rPr>
                <w:rFonts w:ascii="宋体" w:hAnsi="宋体" w:eastAsia="宋体" w:cs="Arial"/>
                <w:szCs w:val="21"/>
              </w:rPr>
              <w:t>手机 App</w:t>
            </w:r>
          </w:p>
        </w:tc>
        <w:tc>
          <w:tcPr>
            <w:tcW w:w="1230" w:type="dxa"/>
            <w:tcMar>
              <w:top w:w="60" w:type="dxa"/>
              <w:left w:w="120" w:type="dxa"/>
              <w:bottom w:w="30" w:type="dxa"/>
              <w:right w:w="120" w:type="dxa"/>
            </w:tcMar>
          </w:tcPr>
          <w:p w14:paraId="38A3A5D9">
            <w:pPr>
              <w:spacing w:before="120" w:after="120" w:line="288" w:lineRule="auto"/>
              <w:jc w:val="center"/>
              <w:rPr>
                <w:rFonts w:ascii="宋体" w:hAnsi="宋体" w:eastAsia="宋体"/>
                <w:szCs w:val="21"/>
              </w:rPr>
            </w:pPr>
            <w:r>
              <w:rPr>
                <w:rFonts w:ascii="宋体" w:hAnsi="宋体" w:eastAsia="宋体" w:cs="Arial"/>
                <w:szCs w:val="21"/>
              </w:rPr>
              <w:t>5天</w:t>
            </w:r>
          </w:p>
        </w:tc>
        <w:tc>
          <w:tcPr>
            <w:tcW w:w="1440" w:type="dxa"/>
            <w:tcMar>
              <w:top w:w="60" w:type="dxa"/>
              <w:left w:w="120" w:type="dxa"/>
              <w:bottom w:w="30" w:type="dxa"/>
              <w:right w:w="120" w:type="dxa"/>
            </w:tcMar>
          </w:tcPr>
          <w:p w14:paraId="4055B500">
            <w:pPr>
              <w:spacing w:before="120" w:after="120" w:line="288" w:lineRule="auto"/>
              <w:jc w:val="center"/>
              <w:rPr>
                <w:rFonts w:ascii="宋体" w:hAnsi="宋体" w:eastAsia="宋体"/>
                <w:szCs w:val="21"/>
              </w:rPr>
            </w:pPr>
            <w:r>
              <w:rPr>
                <w:rFonts w:ascii="宋体" w:hAnsi="宋体" w:eastAsia="宋体" w:cs="Arial"/>
                <w:szCs w:val="21"/>
              </w:rPr>
              <w:t>7天</w:t>
            </w:r>
          </w:p>
        </w:tc>
        <w:tc>
          <w:tcPr>
            <w:tcW w:w="1365" w:type="dxa"/>
            <w:tcMar>
              <w:top w:w="60" w:type="dxa"/>
              <w:left w:w="120" w:type="dxa"/>
              <w:bottom w:w="30" w:type="dxa"/>
              <w:right w:w="120" w:type="dxa"/>
            </w:tcMar>
          </w:tcPr>
          <w:p w14:paraId="0EB68469">
            <w:pPr>
              <w:spacing w:before="120" w:after="120" w:line="288" w:lineRule="auto"/>
              <w:jc w:val="center"/>
              <w:rPr>
                <w:rFonts w:ascii="宋体" w:hAnsi="宋体" w:eastAsia="宋体"/>
                <w:szCs w:val="21"/>
              </w:rPr>
            </w:pPr>
            <w:r>
              <w:rPr>
                <w:rFonts w:ascii="宋体" w:hAnsi="宋体" w:eastAsia="宋体" w:cs="Arial"/>
                <w:szCs w:val="21"/>
              </w:rPr>
              <w:t>14天</w:t>
            </w:r>
          </w:p>
        </w:tc>
        <w:tc>
          <w:tcPr>
            <w:tcW w:w="1305" w:type="dxa"/>
            <w:tcMar>
              <w:top w:w="60" w:type="dxa"/>
              <w:left w:w="120" w:type="dxa"/>
              <w:bottom w:w="30" w:type="dxa"/>
              <w:right w:w="120" w:type="dxa"/>
            </w:tcMar>
          </w:tcPr>
          <w:p w14:paraId="3558A326">
            <w:pPr>
              <w:spacing w:before="120" w:after="120" w:line="288" w:lineRule="auto"/>
              <w:jc w:val="center"/>
              <w:rPr>
                <w:rFonts w:ascii="宋体" w:hAnsi="宋体" w:eastAsia="宋体"/>
                <w:szCs w:val="21"/>
              </w:rPr>
            </w:pPr>
            <w:r>
              <w:rPr>
                <w:rFonts w:ascii="宋体" w:hAnsi="宋体" w:eastAsia="宋体" w:cs="Arial"/>
                <w:szCs w:val="21"/>
              </w:rPr>
              <w:t>14天</w:t>
            </w:r>
          </w:p>
        </w:tc>
      </w:tr>
      <w:tr w14:paraId="18D913D0">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695" w:type="dxa"/>
            <w:vMerge w:val="continue"/>
            <w:tcMar>
              <w:top w:w="60" w:type="dxa"/>
              <w:left w:w="120" w:type="dxa"/>
              <w:bottom w:w="30" w:type="dxa"/>
              <w:right w:w="120" w:type="dxa"/>
            </w:tcMar>
          </w:tcPr>
          <w:p w14:paraId="30E906DA">
            <w:pPr>
              <w:spacing w:before="120" w:after="120" w:line="288" w:lineRule="auto"/>
              <w:jc w:val="left"/>
              <w:rPr>
                <w:rFonts w:ascii="宋体" w:hAnsi="宋体" w:eastAsia="宋体"/>
                <w:szCs w:val="21"/>
              </w:rPr>
            </w:pPr>
          </w:p>
        </w:tc>
        <w:tc>
          <w:tcPr>
            <w:tcW w:w="1230" w:type="dxa"/>
            <w:tcMar>
              <w:top w:w="60" w:type="dxa"/>
              <w:left w:w="120" w:type="dxa"/>
              <w:bottom w:w="30" w:type="dxa"/>
              <w:right w:w="120" w:type="dxa"/>
            </w:tcMar>
          </w:tcPr>
          <w:p w14:paraId="5B243006">
            <w:pPr>
              <w:spacing w:before="120" w:after="120" w:line="288" w:lineRule="auto"/>
              <w:jc w:val="center"/>
              <w:rPr>
                <w:rFonts w:ascii="宋体" w:hAnsi="宋体" w:eastAsia="宋体"/>
                <w:szCs w:val="21"/>
              </w:rPr>
            </w:pPr>
            <w:r>
              <w:rPr>
                <w:rFonts w:ascii="宋体" w:hAnsi="宋体" w:eastAsia="宋体" w:cs="Arial"/>
                <w:szCs w:val="21"/>
              </w:rPr>
              <w:t>SOTA App</w:t>
            </w:r>
          </w:p>
        </w:tc>
        <w:tc>
          <w:tcPr>
            <w:tcW w:w="1230" w:type="dxa"/>
            <w:tcMar>
              <w:top w:w="60" w:type="dxa"/>
              <w:left w:w="120" w:type="dxa"/>
              <w:bottom w:w="30" w:type="dxa"/>
              <w:right w:w="120" w:type="dxa"/>
            </w:tcMar>
          </w:tcPr>
          <w:p w14:paraId="792C6B3B">
            <w:pPr>
              <w:spacing w:before="120" w:after="120" w:line="288" w:lineRule="auto"/>
              <w:jc w:val="center"/>
              <w:rPr>
                <w:rFonts w:ascii="宋体" w:hAnsi="宋体" w:eastAsia="宋体"/>
                <w:szCs w:val="21"/>
              </w:rPr>
            </w:pPr>
            <w:r>
              <w:rPr>
                <w:rFonts w:ascii="宋体" w:hAnsi="宋体" w:eastAsia="宋体" w:cs="Arial"/>
                <w:szCs w:val="21"/>
              </w:rPr>
              <w:t>5天</w:t>
            </w:r>
          </w:p>
        </w:tc>
        <w:tc>
          <w:tcPr>
            <w:tcW w:w="1440" w:type="dxa"/>
            <w:tcMar>
              <w:top w:w="60" w:type="dxa"/>
              <w:left w:w="120" w:type="dxa"/>
              <w:bottom w:w="30" w:type="dxa"/>
              <w:right w:w="120" w:type="dxa"/>
            </w:tcMar>
          </w:tcPr>
          <w:p w14:paraId="05D7C3F2">
            <w:pPr>
              <w:spacing w:before="120" w:after="120" w:line="288" w:lineRule="auto"/>
              <w:jc w:val="center"/>
              <w:rPr>
                <w:rFonts w:ascii="宋体" w:hAnsi="宋体" w:eastAsia="宋体"/>
                <w:szCs w:val="21"/>
              </w:rPr>
            </w:pPr>
            <w:r>
              <w:rPr>
                <w:rFonts w:ascii="宋体" w:hAnsi="宋体" w:eastAsia="宋体" w:cs="Arial"/>
                <w:szCs w:val="21"/>
              </w:rPr>
              <w:t>7天</w:t>
            </w:r>
          </w:p>
        </w:tc>
        <w:tc>
          <w:tcPr>
            <w:tcW w:w="1365" w:type="dxa"/>
            <w:tcMar>
              <w:top w:w="60" w:type="dxa"/>
              <w:left w:w="120" w:type="dxa"/>
              <w:bottom w:w="30" w:type="dxa"/>
              <w:right w:w="120" w:type="dxa"/>
            </w:tcMar>
          </w:tcPr>
          <w:p w14:paraId="19FF1D54">
            <w:pPr>
              <w:spacing w:before="120" w:after="120" w:line="288" w:lineRule="auto"/>
              <w:jc w:val="center"/>
              <w:rPr>
                <w:rFonts w:ascii="宋体" w:hAnsi="宋体" w:eastAsia="宋体"/>
                <w:szCs w:val="21"/>
              </w:rPr>
            </w:pPr>
            <w:r>
              <w:rPr>
                <w:rFonts w:ascii="宋体" w:hAnsi="宋体" w:eastAsia="宋体" w:cs="Arial"/>
                <w:szCs w:val="21"/>
              </w:rPr>
              <w:t>14天</w:t>
            </w:r>
          </w:p>
        </w:tc>
        <w:tc>
          <w:tcPr>
            <w:tcW w:w="1305" w:type="dxa"/>
            <w:tcMar>
              <w:top w:w="60" w:type="dxa"/>
              <w:left w:w="120" w:type="dxa"/>
              <w:bottom w:w="30" w:type="dxa"/>
              <w:right w:w="120" w:type="dxa"/>
            </w:tcMar>
          </w:tcPr>
          <w:p w14:paraId="2D4E08F8">
            <w:pPr>
              <w:spacing w:before="120" w:after="120" w:line="288" w:lineRule="auto"/>
              <w:jc w:val="center"/>
              <w:rPr>
                <w:rFonts w:ascii="宋体" w:hAnsi="宋体" w:eastAsia="宋体"/>
                <w:szCs w:val="21"/>
              </w:rPr>
            </w:pPr>
            <w:r>
              <w:rPr>
                <w:rFonts w:ascii="宋体" w:hAnsi="宋体" w:eastAsia="宋体" w:cs="Arial"/>
                <w:szCs w:val="21"/>
              </w:rPr>
              <w:t>14天</w:t>
            </w:r>
          </w:p>
        </w:tc>
      </w:tr>
      <w:tr w14:paraId="60B91E66">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695" w:type="dxa"/>
            <w:vMerge w:val="continue"/>
            <w:tcMar>
              <w:top w:w="60" w:type="dxa"/>
              <w:left w:w="120" w:type="dxa"/>
              <w:bottom w:w="30" w:type="dxa"/>
              <w:right w:w="120" w:type="dxa"/>
            </w:tcMar>
          </w:tcPr>
          <w:p w14:paraId="5357B367">
            <w:pPr>
              <w:spacing w:before="120" w:after="120" w:line="288" w:lineRule="auto"/>
              <w:jc w:val="left"/>
              <w:rPr>
                <w:rFonts w:ascii="宋体" w:hAnsi="宋体" w:eastAsia="宋体"/>
                <w:szCs w:val="21"/>
              </w:rPr>
            </w:pPr>
          </w:p>
        </w:tc>
        <w:tc>
          <w:tcPr>
            <w:tcW w:w="1230" w:type="dxa"/>
            <w:tcMar>
              <w:top w:w="60" w:type="dxa"/>
              <w:left w:w="120" w:type="dxa"/>
              <w:bottom w:w="30" w:type="dxa"/>
              <w:right w:w="120" w:type="dxa"/>
            </w:tcMar>
          </w:tcPr>
          <w:p w14:paraId="1B94DCD2">
            <w:pPr>
              <w:spacing w:before="120" w:after="120" w:line="288" w:lineRule="auto"/>
              <w:jc w:val="center"/>
              <w:rPr>
                <w:rFonts w:ascii="宋体" w:hAnsi="宋体" w:eastAsia="宋体"/>
                <w:szCs w:val="21"/>
              </w:rPr>
            </w:pPr>
            <w:r>
              <w:rPr>
                <w:rFonts w:ascii="宋体" w:hAnsi="宋体" w:eastAsia="宋体" w:cs="Arial"/>
                <w:szCs w:val="21"/>
              </w:rPr>
              <w:t>车机系统及系统App</w:t>
            </w:r>
          </w:p>
        </w:tc>
        <w:tc>
          <w:tcPr>
            <w:tcW w:w="1230" w:type="dxa"/>
            <w:tcMar>
              <w:top w:w="60" w:type="dxa"/>
              <w:left w:w="120" w:type="dxa"/>
              <w:bottom w:w="30" w:type="dxa"/>
              <w:right w:w="120" w:type="dxa"/>
            </w:tcMar>
          </w:tcPr>
          <w:p w14:paraId="1AB29EDF">
            <w:pPr>
              <w:spacing w:before="120" w:after="120" w:line="288" w:lineRule="auto"/>
              <w:jc w:val="center"/>
              <w:rPr>
                <w:rFonts w:ascii="宋体" w:hAnsi="宋体" w:eastAsia="宋体"/>
                <w:szCs w:val="21"/>
              </w:rPr>
            </w:pPr>
            <w:r>
              <w:rPr>
                <w:rFonts w:ascii="宋体" w:hAnsi="宋体" w:eastAsia="宋体" w:cs="Arial"/>
                <w:szCs w:val="21"/>
              </w:rPr>
              <w:t>14天</w:t>
            </w:r>
          </w:p>
        </w:tc>
        <w:tc>
          <w:tcPr>
            <w:tcW w:w="1440" w:type="dxa"/>
            <w:tcMar>
              <w:top w:w="60" w:type="dxa"/>
              <w:left w:w="120" w:type="dxa"/>
              <w:bottom w:w="30" w:type="dxa"/>
              <w:right w:w="120" w:type="dxa"/>
            </w:tcMar>
          </w:tcPr>
          <w:p w14:paraId="74D38B81">
            <w:pPr>
              <w:spacing w:before="120" w:after="120" w:line="288" w:lineRule="auto"/>
              <w:jc w:val="center"/>
              <w:rPr>
                <w:rFonts w:ascii="宋体" w:hAnsi="宋体" w:eastAsia="宋体"/>
                <w:szCs w:val="21"/>
              </w:rPr>
            </w:pPr>
            <w:r>
              <w:rPr>
                <w:rFonts w:ascii="宋体" w:hAnsi="宋体" w:eastAsia="宋体" w:cs="Arial"/>
                <w:szCs w:val="21"/>
              </w:rPr>
              <w:t>下次小版本OTA，约1个月</w:t>
            </w:r>
          </w:p>
        </w:tc>
        <w:tc>
          <w:tcPr>
            <w:tcW w:w="1365" w:type="dxa"/>
            <w:tcMar>
              <w:top w:w="60" w:type="dxa"/>
              <w:left w:w="120" w:type="dxa"/>
              <w:bottom w:w="30" w:type="dxa"/>
              <w:right w:w="120" w:type="dxa"/>
            </w:tcMar>
          </w:tcPr>
          <w:p w14:paraId="18D9FB7D">
            <w:pPr>
              <w:spacing w:before="120" w:after="120" w:line="288" w:lineRule="auto"/>
              <w:jc w:val="center"/>
              <w:rPr>
                <w:rFonts w:ascii="宋体" w:hAnsi="宋体" w:eastAsia="宋体"/>
                <w:szCs w:val="21"/>
              </w:rPr>
            </w:pPr>
            <w:r>
              <w:rPr>
                <w:rFonts w:ascii="宋体" w:hAnsi="宋体" w:eastAsia="宋体" w:cs="Arial"/>
                <w:szCs w:val="21"/>
              </w:rPr>
              <w:t>下次小版本OTA，约1个月</w:t>
            </w:r>
          </w:p>
        </w:tc>
        <w:tc>
          <w:tcPr>
            <w:tcW w:w="1305" w:type="dxa"/>
            <w:tcMar>
              <w:top w:w="60" w:type="dxa"/>
              <w:left w:w="120" w:type="dxa"/>
              <w:bottom w:w="30" w:type="dxa"/>
              <w:right w:w="120" w:type="dxa"/>
            </w:tcMar>
          </w:tcPr>
          <w:p w14:paraId="65D4EE9E">
            <w:pPr>
              <w:spacing w:before="120" w:after="120" w:line="288" w:lineRule="auto"/>
              <w:jc w:val="center"/>
              <w:rPr>
                <w:rFonts w:ascii="宋体" w:hAnsi="宋体" w:eastAsia="宋体"/>
                <w:szCs w:val="21"/>
              </w:rPr>
            </w:pPr>
            <w:r>
              <w:rPr>
                <w:rFonts w:ascii="宋体" w:hAnsi="宋体" w:eastAsia="宋体" w:cs="Arial"/>
                <w:szCs w:val="21"/>
              </w:rPr>
              <w:t>下次小版本OTA，约1个月</w:t>
            </w:r>
          </w:p>
        </w:tc>
      </w:tr>
      <w:tr w14:paraId="4CA6FD65">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2925" w:type="dxa"/>
            <w:gridSpan w:val="2"/>
            <w:tcMar>
              <w:top w:w="60" w:type="dxa"/>
              <w:left w:w="120" w:type="dxa"/>
              <w:bottom w:w="30" w:type="dxa"/>
              <w:right w:w="120" w:type="dxa"/>
            </w:tcMar>
          </w:tcPr>
          <w:p w14:paraId="5ABEBDC4">
            <w:pPr>
              <w:spacing w:before="120" w:after="120" w:line="288" w:lineRule="auto"/>
              <w:jc w:val="center"/>
              <w:rPr>
                <w:rFonts w:ascii="宋体" w:hAnsi="宋体" w:eastAsia="宋体"/>
                <w:szCs w:val="21"/>
              </w:rPr>
            </w:pPr>
            <w:r>
              <w:rPr>
                <w:rFonts w:ascii="宋体" w:hAnsi="宋体" w:eastAsia="宋体" w:cs="Arial"/>
                <w:b/>
                <w:szCs w:val="21"/>
              </w:rPr>
              <w:t>车端（FOTA）</w:t>
            </w:r>
          </w:p>
        </w:tc>
        <w:tc>
          <w:tcPr>
            <w:tcW w:w="1230" w:type="dxa"/>
            <w:tcMar>
              <w:top w:w="60" w:type="dxa"/>
              <w:left w:w="120" w:type="dxa"/>
              <w:bottom w:w="30" w:type="dxa"/>
              <w:right w:w="120" w:type="dxa"/>
            </w:tcMar>
          </w:tcPr>
          <w:p w14:paraId="113DA0B2">
            <w:pPr>
              <w:spacing w:before="120" w:after="120" w:line="288" w:lineRule="auto"/>
              <w:jc w:val="center"/>
              <w:rPr>
                <w:rFonts w:ascii="宋体" w:hAnsi="宋体" w:eastAsia="宋体"/>
                <w:szCs w:val="21"/>
              </w:rPr>
            </w:pPr>
            <w:r>
              <w:rPr>
                <w:rFonts w:ascii="宋体" w:hAnsi="宋体" w:eastAsia="宋体" w:cs="Arial"/>
                <w:szCs w:val="21"/>
              </w:rPr>
              <w:t>14天</w:t>
            </w:r>
          </w:p>
        </w:tc>
        <w:tc>
          <w:tcPr>
            <w:tcW w:w="1440" w:type="dxa"/>
            <w:tcMar>
              <w:top w:w="60" w:type="dxa"/>
              <w:left w:w="120" w:type="dxa"/>
              <w:bottom w:w="30" w:type="dxa"/>
              <w:right w:w="120" w:type="dxa"/>
            </w:tcMar>
          </w:tcPr>
          <w:p w14:paraId="43E02D87">
            <w:pPr>
              <w:spacing w:before="120" w:after="120" w:line="288" w:lineRule="auto"/>
              <w:jc w:val="center"/>
              <w:rPr>
                <w:rFonts w:ascii="宋体" w:hAnsi="宋体" w:eastAsia="宋体"/>
                <w:szCs w:val="21"/>
              </w:rPr>
            </w:pPr>
            <w:r>
              <w:rPr>
                <w:rFonts w:ascii="宋体" w:hAnsi="宋体" w:eastAsia="宋体" w:cs="Arial"/>
                <w:szCs w:val="21"/>
              </w:rPr>
              <w:t>下次小版本OTA，约1个月</w:t>
            </w:r>
          </w:p>
        </w:tc>
        <w:tc>
          <w:tcPr>
            <w:tcW w:w="1365" w:type="dxa"/>
            <w:tcMar>
              <w:top w:w="60" w:type="dxa"/>
              <w:left w:w="120" w:type="dxa"/>
              <w:bottom w:w="30" w:type="dxa"/>
              <w:right w:w="120" w:type="dxa"/>
            </w:tcMar>
          </w:tcPr>
          <w:p w14:paraId="4167704D">
            <w:pPr>
              <w:spacing w:before="120" w:after="120" w:line="288" w:lineRule="auto"/>
              <w:jc w:val="center"/>
              <w:rPr>
                <w:rFonts w:ascii="宋体" w:hAnsi="宋体" w:eastAsia="宋体"/>
                <w:szCs w:val="21"/>
              </w:rPr>
            </w:pPr>
            <w:r>
              <w:rPr>
                <w:rFonts w:ascii="宋体" w:hAnsi="宋体" w:eastAsia="宋体" w:cs="Arial"/>
                <w:szCs w:val="21"/>
              </w:rPr>
              <w:t>下次小版本OTA，约1个月</w:t>
            </w:r>
          </w:p>
        </w:tc>
        <w:tc>
          <w:tcPr>
            <w:tcW w:w="1305" w:type="dxa"/>
            <w:tcMar>
              <w:top w:w="60" w:type="dxa"/>
              <w:left w:w="120" w:type="dxa"/>
              <w:bottom w:w="30" w:type="dxa"/>
              <w:right w:w="120" w:type="dxa"/>
            </w:tcMar>
          </w:tcPr>
          <w:p w14:paraId="7EEAAD5F">
            <w:pPr>
              <w:spacing w:before="120" w:after="120" w:line="288" w:lineRule="auto"/>
              <w:jc w:val="center"/>
              <w:rPr>
                <w:rFonts w:ascii="宋体" w:hAnsi="宋体" w:eastAsia="宋体"/>
                <w:szCs w:val="21"/>
              </w:rPr>
            </w:pPr>
            <w:r>
              <w:rPr>
                <w:rFonts w:ascii="宋体" w:hAnsi="宋体" w:eastAsia="宋体" w:cs="Arial"/>
                <w:szCs w:val="21"/>
              </w:rPr>
              <w:t>下次小版本OTA，约1个月</w:t>
            </w:r>
          </w:p>
        </w:tc>
      </w:tr>
      <w:tr w14:paraId="59BC1128">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8265" w:type="dxa"/>
            <w:gridSpan w:val="6"/>
            <w:tcMar>
              <w:top w:w="60" w:type="dxa"/>
              <w:left w:w="120" w:type="dxa"/>
              <w:bottom w:w="30" w:type="dxa"/>
              <w:right w:w="120" w:type="dxa"/>
            </w:tcMar>
          </w:tcPr>
          <w:p w14:paraId="759E9ACC">
            <w:pPr>
              <w:spacing w:before="120" w:after="120" w:line="288" w:lineRule="auto"/>
              <w:jc w:val="left"/>
              <w:rPr>
                <w:rFonts w:ascii="宋体" w:hAnsi="宋体" w:eastAsia="宋体"/>
                <w:szCs w:val="21"/>
              </w:rPr>
            </w:pPr>
            <w:r>
              <w:rPr>
                <w:rFonts w:ascii="宋体" w:hAnsi="宋体" w:eastAsia="宋体" w:cs="Arial"/>
                <w:b/>
                <w:szCs w:val="21"/>
              </w:rPr>
              <w:t>注：</w:t>
            </w:r>
            <w:r>
              <w:rPr>
                <w:rFonts w:ascii="宋体" w:hAnsi="宋体" w:eastAsia="宋体" w:cs="Arial"/>
                <w:szCs w:val="21"/>
              </w:rPr>
              <w:t>起始时间为乙方自己发现漏洞时间，或接收到甲方通知时间。</w:t>
            </w:r>
          </w:p>
        </w:tc>
      </w:tr>
    </w:tbl>
    <w:p w14:paraId="7C576FB2">
      <w:pPr>
        <w:pStyle w:val="4"/>
        <w:numPr>
          <w:ilvl w:val="1"/>
          <w:numId w:val="12"/>
        </w:numPr>
        <w:spacing w:before="120" w:after="120" w:line="288" w:lineRule="auto"/>
        <w:ind w:firstLineChars="0"/>
        <w:jc w:val="left"/>
        <w:rPr>
          <w:rFonts w:ascii="宋体" w:hAnsi="宋体" w:eastAsia="宋体"/>
          <w:szCs w:val="21"/>
        </w:rPr>
      </w:pPr>
      <w:r>
        <w:rPr>
          <w:rFonts w:ascii="宋体" w:hAnsi="宋体" w:eastAsia="宋体" w:cs="Arial"/>
          <w:szCs w:val="21"/>
        </w:rPr>
        <w:t>数据安全要求</w:t>
      </w:r>
    </w:p>
    <w:p w14:paraId="2D2705B1">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乙方应遵守中华人民共和国相关法律法规以及甲方及/或数据主体的安全要求，确保服务过程不存在已知安全隐患或问题，保障网络免受干扰、破坏或者未经授权的访问。</w:t>
      </w:r>
    </w:p>
    <w:p w14:paraId="740017E8">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乙方或关联公司在发生投资并购导致数据控制权发生转移时，应提前征得甲方同意。如甲方同意数据控制权转移，乙方或关联公司应确保乙方或关联公司所承诺的数据保密和安全政策不变，数据接收方承担与本协议条款下乙方同等的义务和赔偿责任。</w:t>
      </w:r>
    </w:p>
    <w:p w14:paraId="5C36CCBC">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乙方应遵守所适用的关于保护个人数据和隐私、通信自由及保障网络安全运行等方面的法律法规。乙方的网络产品、服务具有收集用户信息功能的，其提供者应当向用户明示并取得同意。</w:t>
      </w:r>
    </w:p>
    <w:p w14:paraId="396836A2">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乙方应严格遵从双方的约定、甲方及/或数据主体的指示进行个人数据使用、处理、转移及其他相关业务，采取数据分类、重要数据备份和加密等措施，防止网络数据泄露或者被窃取、篡改。</w:t>
      </w:r>
    </w:p>
    <w:p w14:paraId="2C9B3E5C">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未经甲方及/或数据主体书面授权，不得使用非授权账号或他人账号登录设备进行操作或账号和密码与他人共享。在产品进入商用或转入维护阶段后，不得保留或使用管理员账号或其它非授权账号。</w:t>
      </w:r>
    </w:p>
    <w:p w14:paraId="4226109B">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未经甲方书面许可，不得使用个人便携设备、存储介质接入甲方网络。未经甲方及/或数据主体书面授权，不得访问甲方及/或数据主体系统或收集、持有、使用、处理、修改、泄漏、传播甲方及/或数据主体网络中的任何数据和信息。</w:t>
      </w:r>
    </w:p>
    <w:p w14:paraId="7FC14135">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乙方在存储、使用、处理数据过程中，应使用符合业界标准并与数据存储、使用、处理风险特点、数据性质相称的安全防护措施保护数据同时定期开展风险评估，防止数据遭到未经授权访问、公开披露、使用、修改、损坏或丢失。乙方应提供的保护措施包括但不限于：(i) 对存储数据的服务器或系统进行充分的物理控制和密码保护；(ii) 确保数据不会存储在任何移动设备上或在未对数据进行加密的情形下以电子方式传输；(iii) 采取合理必要的其他措施，防止以非本协议允许的方式使用、处理或披露数据。</w:t>
      </w:r>
    </w:p>
    <w:p w14:paraId="435FD8DE">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如果乙方在处理数据过程中无法提供足够的安全保护水平，或出现了其他违反合同的情况，应立即通知甲方，并提出解决方案。</w:t>
      </w:r>
    </w:p>
    <w:p w14:paraId="0DF856B1">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甲方有权对乙方的数据使用、处理行为进行监督管理，记录和保存乙方使用、处理数据的情况。在甲方提出要求时，乙方应提供其数据处理设施、数据文件及档案等，以使甲方可核实乙方是否遵守其保证和承诺。</w:t>
      </w:r>
    </w:p>
    <w:p w14:paraId="108BC25B">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乙方应对甲方或数据主体的询问给予快速恰当的回应并配合监管机关询问和建议；在数据主体提出要求时，告知数据主体投诉方式并及时响应数据主体要求。</w:t>
      </w:r>
    </w:p>
    <w:p w14:paraId="1C4526A6">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如乙方接受甲方委托处理数据，未经甲方书面同意，乙方不得转委托；若甲方同意转委托，乙方必须与最终受托方签署书面协议，该协议应规定最终受托方应承担与本协议条款下乙方同等的义务和赔偿责任，如最终受托方行为违反本协议约定，乙方应向甲方和数据主体承担连带责任。</w:t>
      </w:r>
    </w:p>
    <w:p w14:paraId="48F31EC4">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双方合作到期后，如涉及，乙方需对使用和存储的甲方敏感数据进行销毁处理，并提供相应销毁或删除证明。</w:t>
      </w:r>
    </w:p>
    <w:p w14:paraId="30C59180">
      <w:pPr>
        <w:pStyle w:val="4"/>
        <w:numPr>
          <w:ilvl w:val="1"/>
          <w:numId w:val="12"/>
        </w:numPr>
        <w:spacing w:before="120" w:after="120" w:line="288" w:lineRule="auto"/>
        <w:ind w:firstLineChars="0"/>
        <w:jc w:val="left"/>
        <w:rPr>
          <w:rFonts w:ascii="宋体" w:hAnsi="宋体" w:eastAsia="宋体"/>
          <w:szCs w:val="21"/>
        </w:rPr>
      </w:pPr>
      <w:r>
        <w:rPr>
          <w:rFonts w:ascii="宋体" w:hAnsi="宋体" w:eastAsia="宋体" w:cs="Arial"/>
          <w:szCs w:val="21"/>
        </w:rPr>
        <w:t>安全事件响应</w:t>
      </w:r>
    </w:p>
    <w:p w14:paraId="29C17AB0">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安全事件的定义：由于人为原因、软硬件缺陷或故障、漏洞爆发或被利用自然灾害等情况对网络和信息系统或者其中的数据造成危害,对公司造成负面影响的事件；</w:t>
      </w:r>
    </w:p>
    <w:p w14:paraId="73BC847A">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对于乙方发现的安全事件，甲方有权参与乙方安全事件的调查和处理，并要求乙方配合提供必要的支持和协助；对于甲方发现的安全事件，乙方应在24小时内做出响应，并配合甲方调查和处理。</w:t>
      </w:r>
    </w:p>
    <w:p w14:paraId="072A48BA">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乙方应在发现安全事件24小时内通报甲方。乙方应立即采取紧急措施，防止安全事件继续扩大。</w:t>
      </w:r>
    </w:p>
    <w:p w14:paraId="7CE3C7CB">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双方应对安全事件及其处理过程和结果进行保密，不得向第三方披露相关信息，除非获得对方明确授权。</w:t>
      </w:r>
    </w:p>
    <w:p w14:paraId="1390AACA">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如果乙方在法律法规要求的情况下需要披露数据，应在披露前通知甲方。</w:t>
      </w:r>
    </w:p>
    <w:p w14:paraId="2E730E54">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乙方应在安全事件发生后的48小时内提交安全事件处理报告，包括安全事件的起因、受影响的产品、服务、数据范围，处理情况。</w:t>
      </w:r>
    </w:p>
    <w:p w14:paraId="2FEB0AC7">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对于因乙方原因导致的安全事件，乙方应承担全部责任，并承担由此产生的损失。</w:t>
      </w:r>
    </w:p>
    <w:p w14:paraId="3CEE838D">
      <w:pPr>
        <w:pStyle w:val="4"/>
        <w:numPr>
          <w:ilvl w:val="1"/>
          <w:numId w:val="12"/>
        </w:numPr>
        <w:spacing w:before="120" w:after="120" w:line="288" w:lineRule="auto"/>
        <w:ind w:firstLineChars="0"/>
        <w:jc w:val="left"/>
        <w:rPr>
          <w:rFonts w:ascii="宋体" w:hAnsi="宋体" w:eastAsia="宋体"/>
          <w:szCs w:val="21"/>
        </w:rPr>
      </w:pPr>
      <w:r>
        <w:rPr>
          <w:rFonts w:ascii="宋体" w:hAnsi="宋体" w:eastAsia="宋体" w:cs="Arial"/>
          <w:szCs w:val="21"/>
        </w:rPr>
        <w:t>其他安全要求</w:t>
      </w:r>
    </w:p>
    <w:p w14:paraId="53161B5F">
      <w:pPr>
        <w:pStyle w:val="4"/>
        <w:numPr>
          <w:ilvl w:val="2"/>
          <w:numId w:val="12"/>
        </w:numPr>
        <w:spacing w:before="120" w:after="120" w:line="288" w:lineRule="auto"/>
        <w:ind w:firstLineChars="0"/>
        <w:jc w:val="left"/>
        <w:rPr>
          <w:rFonts w:ascii="宋体" w:hAnsi="宋体" w:eastAsia="宋体" w:cs="Arial"/>
          <w:szCs w:val="21"/>
        </w:rPr>
      </w:pPr>
      <w:r>
        <w:rPr>
          <w:rFonts w:ascii="宋体" w:hAnsi="宋体" w:eastAsia="宋体" w:cs="Arial"/>
          <w:szCs w:val="21"/>
        </w:rPr>
        <w:t>乙方应建立完善的信息与数据安全保障体系，实施产品/及服务的安全管理并定</w:t>
      </w:r>
      <w:r>
        <w:rPr>
          <w:rFonts w:hint="eastAsia" w:ascii="宋体" w:hAnsi="宋体" w:eastAsia="宋体" w:cs="Arial"/>
          <w:szCs w:val="21"/>
        </w:rPr>
        <w:t>期</w:t>
      </w:r>
      <w:r>
        <w:rPr>
          <w:rFonts w:ascii="宋体" w:hAnsi="宋体" w:eastAsia="宋体" w:cs="Arial"/>
          <w:szCs w:val="21"/>
        </w:rPr>
        <w:t>进行安全自检，甲方及/或客户有权对乙方的信息与数据安全保障体系及执行情况进行审核。</w:t>
      </w:r>
    </w:p>
    <w:p w14:paraId="76604A2F">
      <w:pPr>
        <w:pStyle w:val="4"/>
        <w:numPr>
          <w:ilvl w:val="2"/>
          <w:numId w:val="12"/>
        </w:numPr>
        <w:spacing w:before="120" w:after="120" w:line="288" w:lineRule="auto"/>
        <w:ind w:firstLineChars="0"/>
        <w:jc w:val="left"/>
        <w:rPr>
          <w:rFonts w:ascii="宋体" w:hAnsi="宋体" w:eastAsia="宋体" w:cs="Arial"/>
          <w:szCs w:val="21"/>
        </w:rPr>
      </w:pPr>
      <w:r>
        <w:rPr>
          <w:rFonts w:ascii="宋体" w:hAnsi="宋体" w:eastAsia="宋体" w:cs="Arial"/>
          <w:szCs w:val="21"/>
        </w:rPr>
        <w:t>当乙方发现自身产品/及服务的安全问题时(包括但不限于安全漏洞、发现任何形式或介质上的个人信息、信息或其他资料已经被任何未经授权的人员、或被任何人以任何未经授权的方式或基于一个未经授权的目的而查阅、取得、修订、使用、处理或披露)， 须在24小时内通过邮件、传真或其他书面方式通知甲方，并将问题的解决方案通知甲方。未经甲方授权，乙方不得以任何形式对外披露。</w:t>
      </w:r>
    </w:p>
    <w:p w14:paraId="53F74E5F">
      <w:pPr>
        <w:pStyle w:val="4"/>
        <w:numPr>
          <w:ilvl w:val="2"/>
          <w:numId w:val="12"/>
        </w:numPr>
        <w:spacing w:before="120" w:after="120" w:line="288" w:lineRule="auto"/>
        <w:ind w:firstLineChars="0"/>
        <w:jc w:val="left"/>
        <w:rPr>
          <w:rFonts w:ascii="宋体" w:hAnsi="宋体" w:eastAsia="宋体" w:cs="Arial"/>
          <w:szCs w:val="21"/>
        </w:rPr>
      </w:pPr>
      <w:r>
        <w:rPr>
          <w:rFonts w:ascii="宋体" w:hAnsi="宋体" w:eastAsia="宋体" w:cs="Arial"/>
          <w:szCs w:val="21"/>
        </w:rPr>
        <w:t>乙方应指定安全事件及工作对接人，并对关键安全岗位员工进行安全管理， 包括但不限于与员工安全协议签署、 进行安全培训、 对员工遵守安全规范的情况进行审核。</w:t>
      </w:r>
    </w:p>
    <w:p w14:paraId="37255B14">
      <w:pPr>
        <w:pStyle w:val="4"/>
        <w:numPr>
          <w:ilvl w:val="2"/>
          <w:numId w:val="12"/>
        </w:numPr>
        <w:spacing w:before="120" w:after="120" w:line="288" w:lineRule="auto"/>
        <w:ind w:firstLineChars="0"/>
        <w:jc w:val="left"/>
        <w:rPr>
          <w:rFonts w:ascii="宋体" w:hAnsi="宋体" w:eastAsia="宋体" w:cs="Arial"/>
          <w:szCs w:val="21"/>
        </w:rPr>
      </w:pPr>
      <w:r>
        <w:rPr>
          <w:rFonts w:ascii="宋体" w:hAnsi="宋体" w:eastAsia="宋体" w:cs="Arial"/>
          <w:szCs w:val="21"/>
        </w:rPr>
        <w:t>乙方应在研发、生产制造、物流和采购等环节建立详细的安全管控措施和安全过程记录，以确保服务过程不存在安全隐患及服务过程的可追溯性。若乙方的产品及/或服务含有日志，则日志应有访问控制，并按照规定留存相关的日志不少于六个月。</w:t>
      </w:r>
    </w:p>
    <w:p w14:paraId="57325819">
      <w:pPr>
        <w:pStyle w:val="4"/>
        <w:numPr>
          <w:ilvl w:val="2"/>
          <w:numId w:val="12"/>
        </w:numPr>
        <w:spacing w:before="120" w:after="120" w:line="288" w:lineRule="auto"/>
        <w:ind w:firstLineChars="0"/>
        <w:jc w:val="left"/>
        <w:rPr>
          <w:rFonts w:ascii="宋体" w:hAnsi="宋体" w:eastAsia="宋体" w:cs="Arial"/>
          <w:szCs w:val="21"/>
        </w:rPr>
      </w:pPr>
      <w:r>
        <w:rPr>
          <w:rFonts w:ascii="宋体" w:hAnsi="宋体" w:eastAsia="宋体" w:cs="Arial"/>
          <w:szCs w:val="21"/>
        </w:rPr>
        <w:t>若甲方有合理理由认为乙方及其相关方提供的产品、服务涉及信息安全风险的，甲方有权对乙方进行调查或实施相应的数据安全检测或审计,包括但不限于渗透测试、要求书面合理说明、自行或委托专业第三方开展检测、审计活动。</w:t>
      </w:r>
    </w:p>
    <w:p w14:paraId="08D81477">
      <w:pPr>
        <w:pStyle w:val="4"/>
        <w:numPr>
          <w:ilvl w:val="1"/>
          <w:numId w:val="12"/>
        </w:numPr>
        <w:spacing w:before="120" w:after="120" w:line="288" w:lineRule="auto"/>
        <w:ind w:firstLineChars="0"/>
        <w:jc w:val="left"/>
        <w:rPr>
          <w:rFonts w:ascii="宋体" w:hAnsi="宋体" w:eastAsia="宋体"/>
          <w:szCs w:val="21"/>
        </w:rPr>
      </w:pPr>
      <w:r>
        <w:rPr>
          <w:rFonts w:ascii="宋体" w:hAnsi="宋体" w:eastAsia="宋体" w:cs="Arial"/>
          <w:szCs w:val="21"/>
        </w:rPr>
        <w:t>违约责任</w:t>
      </w:r>
    </w:p>
    <w:p w14:paraId="6BDACCD0">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如乙方存在违反数据安全、网络安全、个人信息保护相关法律法规要求或本协议约定，应当承担违约责任，甲方有权解除本协议，并要求乙方支付违约金（原合同金额（含税）&lt;10万元，违约金100万元；10万元≤合同金额（含税）&lt;100万元，违约金200万元；合同金额（含税）≥100万元，违约金为合同金额或500万元，取高值。）违约金不足以弥补甲方全部损失（包括但不限于由此支付的赔偿金、补偿金、罚款，为避免影响进一步扩大或减少损失而采取相关措施所发生的所有费用，以及由此产生的诉讼费、律师费、公证费等）的，乙方应按照甲方全部损失承担全部赔偿责任。</w:t>
      </w:r>
    </w:p>
    <w:p w14:paraId="310CAB3E">
      <w:pPr>
        <w:pStyle w:val="4"/>
        <w:numPr>
          <w:ilvl w:val="2"/>
          <w:numId w:val="12"/>
        </w:numPr>
        <w:spacing w:before="120" w:after="120" w:line="288" w:lineRule="auto"/>
        <w:ind w:firstLineChars="0"/>
        <w:jc w:val="left"/>
        <w:rPr>
          <w:rFonts w:ascii="宋体" w:hAnsi="宋体" w:eastAsia="宋体"/>
          <w:szCs w:val="21"/>
        </w:rPr>
      </w:pPr>
      <w:r>
        <w:rPr>
          <w:rFonts w:ascii="宋体" w:hAnsi="宋体" w:eastAsia="宋体" w:cs="Arial"/>
          <w:szCs w:val="21"/>
        </w:rPr>
        <w:t>如导致甲方涉及争议、纠纷或行政主管部门的调查，乙方应当采取相应的救济措施保证甲方免责；如甲方需向客户、第三方承担先行赔付义务的，甲方有权向乙方足额追偿。如果给甲方造成负面影响的，甲方有权要求乙方通过正式渠道发布相关声明等方式，消除对甲方造成的负面影响。</w:t>
      </w:r>
    </w:p>
    <w:p w14:paraId="32B994B1">
      <w:pPr>
        <w:spacing w:before="120" w:after="120" w:line="288" w:lineRule="auto"/>
        <w:jc w:val="left"/>
        <w:rPr>
          <w:rFonts w:ascii="宋体" w:hAnsi="宋体" w:eastAsia="宋体"/>
          <w:szCs w:val="21"/>
        </w:rPr>
      </w:pPr>
    </w:p>
    <w:p w14:paraId="1EE73F6B">
      <w:pPr>
        <w:pStyle w:val="4"/>
        <w:numPr>
          <w:ilvl w:val="0"/>
          <w:numId w:val="1"/>
        </w:numPr>
        <w:spacing w:before="120" w:after="120" w:line="288" w:lineRule="auto"/>
        <w:ind w:firstLineChars="0"/>
        <w:jc w:val="left"/>
        <w:rPr>
          <w:rFonts w:ascii="宋体" w:hAnsi="宋体" w:eastAsia="宋体"/>
          <w:b/>
          <w:szCs w:val="21"/>
        </w:rPr>
      </w:pPr>
      <w:r>
        <w:rPr>
          <w:rFonts w:hint="eastAsia" w:ascii="宋体" w:hAnsi="宋体" w:eastAsia="宋体"/>
          <w:b/>
          <w:szCs w:val="21"/>
        </w:rPr>
        <w:t>E</w:t>
      </w:r>
      <w:r>
        <w:rPr>
          <w:rFonts w:ascii="宋体" w:hAnsi="宋体" w:eastAsia="宋体"/>
          <w:b/>
          <w:szCs w:val="21"/>
        </w:rPr>
        <w:t>HS</w:t>
      </w:r>
      <w:r>
        <w:rPr>
          <w:rFonts w:hint="eastAsia" w:ascii="宋体" w:hAnsi="宋体" w:eastAsia="宋体"/>
          <w:b/>
          <w:szCs w:val="21"/>
        </w:rPr>
        <w:t>管理</w:t>
      </w:r>
    </w:p>
    <w:p w14:paraId="2FE11A66">
      <w:pPr>
        <w:spacing w:before="120" w:after="120" w:line="288" w:lineRule="auto"/>
        <w:jc w:val="left"/>
        <w:rPr>
          <w:rFonts w:ascii="宋体" w:hAnsi="宋体" w:eastAsia="宋体"/>
          <w:szCs w:val="21"/>
        </w:rPr>
      </w:pPr>
      <w:r>
        <w:rPr>
          <w:rFonts w:ascii="宋体" w:hAnsi="宋体" w:eastAsia="宋体" w:cs="Arial"/>
          <w:szCs w:val="21"/>
        </w:rPr>
        <w:t>为贯彻落实《中华人民共和国安全生产法》《中华人民共和国消防法》《中华人民共和国环境保护法》、《中华人民共和国业病防治法》及其他相关安全、环保、职业健康法律法规标准，坚持“安全第一，预防为主，综合治理”方针，明确</w:t>
      </w:r>
      <w:r>
        <w:rPr>
          <w:rFonts w:hint="eastAsia" w:ascii="宋体" w:hAnsi="宋体" w:eastAsia="宋体" w:cs="Arial"/>
          <w:szCs w:val="21"/>
        </w:rPr>
        <w:t>乙方</w:t>
      </w:r>
      <w:r>
        <w:rPr>
          <w:rFonts w:ascii="宋体" w:hAnsi="宋体" w:eastAsia="宋体" w:cs="Arial"/>
          <w:szCs w:val="21"/>
        </w:rPr>
        <w:t>EHS管理职责，切实保障施工或作业过程中的安全，防止和减少各类事故的发生，</w:t>
      </w:r>
      <w:r>
        <w:rPr>
          <w:rFonts w:hint="eastAsia" w:ascii="宋体" w:hAnsi="宋体" w:eastAsia="宋体" w:cs="Arial"/>
          <w:szCs w:val="21"/>
        </w:rPr>
        <w:t>双方确认并同意如下条款：</w:t>
      </w:r>
    </w:p>
    <w:p w14:paraId="4B946A95">
      <w:pPr>
        <w:pStyle w:val="4"/>
        <w:numPr>
          <w:ilvl w:val="1"/>
          <w:numId w:val="13"/>
        </w:numPr>
        <w:spacing w:before="120" w:after="120" w:line="288" w:lineRule="auto"/>
        <w:ind w:firstLineChars="0"/>
        <w:jc w:val="left"/>
        <w:rPr>
          <w:rFonts w:ascii="宋体" w:hAnsi="宋体" w:eastAsia="宋体"/>
          <w:szCs w:val="21"/>
        </w:rPr>
      </w:pPr>
      <w:r>
        <w:rPr>
          <w:rFonts w:hint="eastAsia" w:ascii="宋体" w:hAnsi="宋体" w:eastAsia="宋体" w:cs="Arial"/>
          <w:szCs w:val="21"/>
        </w:rPr>
        <w:t>甲方</w:t>
      </w:r>
      <w:r>
        <w:rPr>
          <w:rFonts w:ascii="宋体" w:hAnsi="宋体" w:eastAsia="宋体" w:cs="Arial"/>
          <w:szCs w:val="21"/>
        </w:rPr>
        <w:t>的职责权利</w:t>
      </w:r>
    </w:p>
    <w:p w14:paraId="432A3928">
      <w:pPr>
        <w:pStyle w:val="4"/>
        <w:numPr>
          <w:ilvl w:val="2"/>
          <w:numId w:val="13"/>
        </w:numPr>
        <w:spacing w:before="120" w:after="120" w:line="288" w:lineRule="auto"/>
        <w:ind w:firstLineChars="0"/>
        <w:jc w:val="left"/>
        <w:rPr>
          <w:rFonts w:ascii="宋体" w:hAnsi="宋体" w:eastAsia="宋体" w:cs="Arial"/>
          <w:szCs w:val="21"/>
        </w:rPr>
      </w:pPr>
      <w:r>
        <w:rPr>
          <w:rFonts w:hint="eastAsia" w:ascii="宋体" w:hAnsi="宋体" w:eastAsia="宋体" w:cs="Arial"/>
          <w:szCs w:val="21"/>
        </w:rPr>
        <w:t>甲方</w:t>
      </w:r>
      <w:r>
        <w:rPr>
          <w:rFonts w:ascii="宋体" w:hAnsi="宋体" w:eastAsia="宋体" w:cs="Arial"/>
          <w:szCs w:val="21"/>
        </w:rPr>
        <w:t>有责任督促</w:t>
      </w:r>
      <w:r>
        <w:rPr>
          <w:rFonts w:hint="eastAsia" w:ascii="宋体" w:hAnsi="宋体" w:eastAsia="宋体" w:cs="Arial"/>
          <w:szCs w:val="21"/>
        </w:rPr>
        <w:t>乙方</w:t>
      </w:r>
      <w:r>
        <w:rPr>
          <w:rFonts w:ascii="宋体" w:hAnsi="宋体" w:eastAsia="宋体" w:cs="Arial"/>
          <w:szCs w:val="21"/>
        </w:rPr>
        <w:t>遵守国家有关安全、环保、职业健康的法律法规、标准和</w:t>
      </w:r>
      <w:r>
        <w:rPr>
          <w:rFonts w:hint="eastAsia" w:ascii="宋体" w:hAnsi="宋体" w:eastAsia="宋体" w:cs="Arial"/>
          <w:szCs w:val="21"/>
        </w:rPr>
        <w:t>甲方</w:t>
      </w:r>
      <w:r>
        <w:rPr>
          <w:rFonts w:ascii="宋体" w:hAnsi="宋体" w:eastAsia="宋体" w:cs="Arial"/>
          <w:szCs w:val="21"/>
        </w:rPr>
        <w:t>的规章制度，安全有序地</w:t>
      </w:r>
      <w:r>
        <w:rPr>
          <w:rFonts w:hint="eastAsia" w:ascii="宋体" w:hAnsi="宋体" w:eastAsia="宋体" w:cs="Arial"/>
          <w:szCs w:val="21"/>
        </w:rPr>
        <w:t>提供产品或服务</w:t>
      </w:r>
      <w:r>
        <w:rPr>
          <w:rFonts w:ascii="宋体" w:hAnsi="宋体" w:eastAsia="宋体" w:cs="Arial"/>
          <w:szCs w:val="21"/>
        </w:rPr>
        <w:t>。</w:t>
      </w:r>
    </w:p>
    <w:p w14:paraId="2283E996">
      <w:pPr>
        <w:pStyle w:val="4"/>
        <w:numPr>
          <w:ilvl w:val="2"/>
          <w:numId w:val="13"/>
        </w:numPr>
        <w:spacing w:before="120" w:after="120" w:line="288" w:lineRule="auto"/>
        <w:ind w:firstLineChars="0"/>
        <w:jc w:val="left"/>
        <w:rPr>
          <w:rFonts w:ascii="宋体" w:hAnsi="宋体" w:eastAsia="宋体" w:cs="Arial"/>
          <w:szCs w:val="21"/>
        </w:rPr>
      </w:pPr>
      <w:r>
        <w:rPr>
          <w:rFonts w:hint="eastAsia" w:ascii="宋体" w:hAnsi="宋体" w:eastAsia="宋体" w:cs="Arial"/>
          <w:szCs w:val="21"/>
        </w:rPr>
        <w:t>甲方有权对乙方提供的服务</w:t>
      </w:r>
      <w:r>
        <w:rPr>
          <w:rFonts w:ascii="宋体" w:hAnsi="宋体" w:eastAsia="宋体" w:cs="Arial"/>
          <w:szCs w:val="21"/>
        </w:rPr>
        <w:t>进行监督、检查，</w:t>
      </w:r>
      <w:r>
        <w:rPr>
          <w:rFonts w:hint="eastAsia" w:ascii="宋体" w:hAnsi="宋体" w:eastAsia="宋体" w:cs="Arial"/>
          <w:szCs w:val="21"/>
        </w:rPr>
        <w:t>如发现</w:t>
      </w:r>
      <w:r>
        <w:rPr>
          <w:rFonts w:ascii="宋体" w:hAnsi="宋体" w:eastAsia="宋体" w:cs="Arial"/>
          <w:szCs w:val="21"/>
        </w:rPr>
        <w:t>不符合EHS要求的，有权要求</w:t>
      </w:r>
      <w:r>
        <w:rPr>
          <w:rFonts w:hint="eastAsia" w:ascii="宋体" w:hAnsi="宋体" w:eastAsia="宋体" w:cs="Arial"/>
          <w:szCs w:val="21"/>
        </w:rPr>
        <w:t>乙方</w:t>
      </w:r>
      <w:r>
        <w:rPr>
          <w:rFonts w:ascii="宋体" w:hAnsi="宋体" w:eastAsia="宋体" w:cs="Arial"/>
          <w:szCs w:val="21"/>
        </w:rPr>
        <w:t>进行限期整改。</w:t>
      </w:r>
      <w:r>
        <w:rPr>
          <w:rFonts w:hint="eastAsia" w:ascii="宋体" w:hAnsi="宋体" w:eastAsia="宋体" w:cs="Arial"/>
          <w:szCs w:val="21"/>
        </w:rPr>
        <w:t>同时甲方有权</w:t>
      </w:r>
      <w:r>
        <w:rPr>
          <w:rFonts w:ascii="宋体" w:hAnsi="宋体" w:eastAsia="宋体" w:cs="Arial"/>
          <w:szCs w:val="21"/>
        </w:rPr>
        <w:t>根据</w:t>
      </w:r>
      <w:r>
        <w:rPr>
          <w:rFonts w:hint="eastAsia" w:ascii="宋体" w:hAnsi="宋体" w:eastAsia="宋体" w:cs="Arial"/>
          <w:szCs w:val="21"/>
        </w:rPr>
        <w:t>乙方</w:t>
      </w:r>
      <w:r>
        <w:rPr>
          <w:rFonts w:ascii="宋体" w:hAnsi="宋体" w:eastAsia="宋体" w:cs="Arial"/>
          <w:szCs w:val="21"/>
        </w:rPr>
        <w:t>定期的EHS业绩评估考核结果给予限期整改、约谈、暂停合作、纳入黑名单等处理。</w:t>
      </w:r>
    </w:p>
    <w:p w14:paraId="4ADAF88F">
      <w:pPr>
        <w:pStyle w:val="4"/>
        <w:numPr>
          <w:ilvl w:val="2"/>
          <w:numId w:val="13"/>
        </w:numPr>
        <w:spacing w:before="120" w:after="120" w:line="288" w:lineRule="auto"/>
        <w:ind w:firstLineChars="0"/>
        <w:jc w:val="left"/>
        <w:rPr>
          <w:rFonts w:ascii="宋体" w:hAnsi="宋体" w:eastAsia="宋体" w:cs="Arial"/>
          <w:szCs w:val="21"/>
        </w:rPr>
      </w:pPr>
      <w:r>
        <w:rPr>
          <w:rFonts w:hint="eastAsia" w:ascii="宋体" w:hAnsi="宋体" w:eastAsia="宋体" w:cs="Arial"/>
          <w:szCs w:val="21"/>
        </w:rPr>
        <w:t>乙方在为甲方提供本协议约定的服务期间</w:t>
      </w:r>
      <w:r>
        <w:rPr>
          <w:rFonts w:ascii="宋体" w:hAnsi="宋体" w:eastAsia="宋体" w:cs="Arial"/>
          <w:szCs w:val="21"/>
        </w:rPr>
        <w:t>，若违反</w:t>
      </w:r>
      <w:r>
        <w:rPr>
          <w:rFonts w:hint="eastAsia" w:ascii="宋体" w:hAnsi="宋体" w:eastAsia="宋体" w:cs="Arial"/>
          <w:szCs w:val="21"/>
        </w:rPr>
        <w:t>甲方</w:t>
      </w:r>
      <w:r>
        <w:rPr>
          <w:rFonts w:ascii="宋体" w:hAnsi="宋体" w:eastAsia="宋体" w:cs="Arial"/>
          <w:szCs w:val="21"/>
        </w:rPr>
        <w:t>EHS管理制度和管理要求的行为，在经过调查证实后，</w:t>
      </w:r>
      <w:r>
        <w:rPr>
          <w:rFonts w:hint="eastAsia" w:ascii="宋体" w:hAnsi="宋体" w:eastAsia="宋体" w:cs="Arial"/>
          <w:szCs w:val="21"/>
        </w:rPr>
        <w:t>甲方</w:t>
      </w:r>
      <w:r>
        <w:rPr>
          <w:rFonts w:ascii="宋体" w:hAnsi="宋体" w:eastAsia="宋体" w:cs="Arial"/>
          <w:szCs w:val="21"/>
        </w:rPr>
        <w:t>有权</w:t>
      </w:r>
      <w:r>
        <w:rPr>
          <w:rFonts w:hint="eastAsia" w:ascii="宋体" w:hAnsi="宋体" w:eastAsia="宋体" w:cs="Arial"/>
          <w:szCs w:val="21"/>
        </w:rPr>
        <w:t>从</w:t>
      </w:r>
      <w:r>
        <w:rPr>
          <w:rFonts w:hint="eastAsia" w:ascii="宋体" w:hAnsi="宋体" w:eastAsia="宋体" w:cs="Arial"/>
          <w:szCs w:val="21"/>
          <w:lang w:val="en-US" w:eastAsia="zh-CN"/>
        </w:rPr>
        <w:t>运费</w:t>
      </w:r>
      <w:r>
        <w:rPr>
          <w:rFonts w:hint="eastAsia" w:ascii="宋体" w:hAnsi="宋体" w:eastAsia="宋体" w:cs="Arial"/>
          <w:szCs w:val="21"/>
        </w:rPr>
        <w:t>中</w:t>
      </w:r>
      <w:r>
        <w:rPr>
          <w:rFonts w:ascii="宋体" w:hAnsi="宋体" w:eastAsia="宋体" w:cs="Arial"/>
          <w:szCs w:val="21"/>
        </w:rPr>
        <w:t>根据</w:t>
      </w:r>
      <w:r>
        <w:rPr>
          <w:rFonts w:hint="eastAsia" w:ascii="宋体" w:hAnsi="宋体" w:eastAsia="宋体" w:cs="Arial"/>
          <w:szCs w:val="21"/>
        </w:rPr>
        <w:t>乙方</w:t>
      </w:r>
      <w:r>
        <w:rPr>
          <w:rFonts w:ascii="宋体" w:hAnsi="宋体" w:eastAsia="宋体" w:cs="Arial"/>
          <w:szCs w:val="21"/>
        </w:rPr>
        <w:t>违约情况扣除安全违约金（罚款）。</w:t>
      </w:r>
    </w:p>
    <w:p w14:paraId="46D48E3E">
      <w:pPr>
        <w:pStyle w:val="4"/>
        <w:numPr>
          <w:ilvl w:val="1"/>
          <w:numId w:val="13"/>
        </w:numPr>
        <w:spacing w:before="120" w:after="120" w:line="288" w:lineRule="auto"/>
        <w:ind w:firstLineChars="0"/>
        <w:jc w:val="left"/>
        <w:rPr>
          <w:rFonts w:ascii="宋体" w:hAnsi="宋体" w:eastAsia="宋体"/>
          <w:szCs w:val="21"/>
        </w:rPr>
      </w:pPr>
      <w:r>
        <w:rPr>
          <w:rFonts w:hint="eastAsia" w:ascii="宋体" w:hAnsi="宋体" w:eastAsia="宋体" w:cs="Arial"/>
          <w:szCs w:val="21"/>
        </w:rPr>
        <w:t>乙方</w:t>
      </w:r>
      <w:r>
        <w:rPr>
          <w:rFonts w:ascii="宋体" w:hAnsi="宋体" w:eastAsia="宋体" w:cs="Arial"/>
          <w:szCs w:val="21"/>
        </w:rPr>
        <w:t>的职责权利</w:t>
      </w:r>
    </w:p>
    <w:p w14:paraId="5908ACC4">
      <w:pPr>
        <w:pStyle w:val="4"/>
        <w:numPr>
          <w:ilvl w:val="2"/>
          <w:numId w:val="13"/>
        </w:numPr>
        <w:spacing w:before="120" w:after="120" w:line="288" w:lineRule="auto"/>
        <w:ind w:firstLineChars="0"/>
        <w:jc w:val="left"/>
        <w:rPr>
          <w:rFonts w:ascii="宋体" w:hAnsi="宋体" w:eastAsia="宋体"/>
          <w:szCs w:val="21"/>
        </w:rPr>
      </w:pPr>
      <w:r>
        <w:rPr>
          <w:rFonts w:hint="eastAsia" w:ascii="宋体" w:hAnsi="宋体" w:eastAsia="宋体" w:cs="Arial"/>
          <w:szCs w:val="21"/>
        </w:rPr>
        <w:t>乙方</w:t>
      </w:r>
      <w:r>
        <w:rPr>
          <w:rFonts w:ascii="宋体" w:hAnsi="宋体" w:eastAsia="宋体" w:cs="Arial"/>
          <w:szCs w:val="21"/>
        </w:rPr>
        <w:t>应确保</w:t>
      </w:r>
      <w:r>
        <w:rPr>
          <w:rFonts w:hint="eastAsia" w:ascii="宋体" w:hAnsi="宋体" w:eastAsia="宋体" w:cs="Arial"/>
          <w:szCs w:val="21"/>
        </w:rPr>
        <w:t>服务</w:t>
      </w:r>
      <w:r>
        <w:rPr>
          <w:rFonts w:ascii="宋体" w:hAnsi="宋体" w:eastAsia="宋体" w:cs="Arial"/>
          <w:szCs w:val="21"/>
        </w:rPr>
        <w:t>管理运营、以及供应给</w:t>
      </w:r>
      <w:r>
        <w:rPr>
          <w:rFonts w:hint="eastAsia" w:ascii="宋体" w:hAnsi="宋体" w:eastAsia="宋体" w:cs="Arial"/>
          <w:szCs w:val="21"/>
        </w:rPr>
        <w:t>甲方</w:t>
      </w:r>
      <w:r>
        <w:rPr>
          <w:rFonts w:ascii="宋体" w:hAnsi="宋体" w:eastAsia="宋体" w:cs="Arial"/>
          <w:szCs w:val="21"/>
        </w:rPr>
        <w:t>的产品或服务遵守所有国家性法律和其他适用的法律法规和标准。</w:t>
      </w:r>
    </w:p>
    <w:p w14:paraId="58BC74BB">
      <w:pPr>
        <w:pStyle w:val="4"/>
        <w:numPr>
          <w:ilvl w:val="2"/>
          <w:numId w:val="13"/>
        </w:numPr>
        <w:spacing w:before="120" w:after="120" w:line="288" w:lineRule="auto"/>
        <w:ind w:firstLineChars="0"/>
        <w:jc w:val="left"/>
        <w:rPr>
          <w:rFonts w:ascii="宋体" w:hAnsi="宋体" w:eastAsia="宋体"/>
          <w:szCs w:val="21"/>
        </w:rPr>
      </w:pPr>
      <w:r>
        <w:rPr>
          <w:rFonts w:hint="eastAsia" w:ascii="宋体" w:hAnsi="宋体" w:eastAsia="宋体" w:cs="Arial"/>
          <w:szCs w:val="21"/>
        </w:rPr>
        <w:t>乙方</w:t>
      </w:r>
      <w:r>
        <w:rPr>
          <w:rFonts w:ascii="宋体" w:hAnsi="宋体" w:eastAsia="宋体" w:cs="Arial"/>
          <w:szCs w:val="21"/>
        </w:rPr>
        <w:t>应依法依规加强对承包/工作范围的EHS管理，落实安全生产责任制，采取有效措施，预防和减少各类事故的发生。</w:t>
      </w:r>
    </w:p>
    <w:p w14:paraId="7AD19C8A">
      <w:pPr>
        <w:pStyle w:val="4"/>
        <w:numPr>
          <w:ilvl w:val="2"/>
          <w:numId w:val="13"/>
        </w:numPr>
        <w:spacing w:before="120" w:after="120" w:line="288" w:lineRule="auto"/>
        <w:ind w:firstLineChars="0"/>
        <w:jc w:val="left"/>
        <w:rPr>
          <w:rFonts w:ascii="宋体" w:hAnsi="宋体" w:eastAsia="宋体"/>
          <w:szCs w:val="21"/>
        </w:rPr>
      </w:pPr>
      <w:r>
        <w:rPr>
          <w:rFonts w:hint="eastAsia" w:ascii="宋体" w:hAnsi="宋体" w:eastAsia="宋体" w:cs="Arial"/>
          <w:szCs w:val="21"/>
        </w:rPr>
        <w:t>乙方</w:t>
      </w:r>
      <w:r>
        <w:rPr>
          <w:rFonts w:ascii="宋体" w:hAnsi="宋体" w:eastAsia="宋体" w:cs="Arial"/>
          <w:szCs w:val="21"/>
        </w:rPr>
        <w:t>必须指定专人负责EHS工作</w:t>
      </w:r>
      <w:r>
        <w:rPr>
          <w:rFonts w:hint="eastAsia" w:ascii="宋体" w:hAnsi="宋体" w:eastAsia="宋体" w:cs="Arial"/>
          <w:szCs w:val="21"/>
        </w:rPr>
        <w:t>，</w:t>
      </w:r>
      <w:r>
        <w:rPr>
          <w:rFonts w:ascii="宋体" w:hAnsi="宋体" w:eastAsia="宋体" w:cs="Arial"/>
          <w:szCs w:val="21"/>
        </w:rPr>
        <w:t>确保适当的安全管理费投入，且必须保障此费用不得挪为他用</w:t>
      </w:r>
      <w:r>
        <w:rPr>
          <w:rFonts w:hint="eastAsia" w:ascii="宋体" w:hAnsi="宋体" w:eastAsia="宋体" w:cs="Arial"/>
          <w:szCs w:val="21"/>
        </w:rPr>
        <w:t>。</w:t>
      </w:r>
      <w:r>
        <w:rPr>
          <w:rFonts w:ascii="宋体" w:hAnsi="宋体" w:eastAsia="宋体" w:cs="Arial"/>
          <w:szCs w:val="21"/>
        </w:rPr>
        <w:t>确保</w:t>
      </w:r>
      <w:r>
        <w:rPr>
          <w:rFonts w:hint="eastAsia" w:ascii="宋体" w:hAnsi="宋体" w:eastAsia="宋体" w:cs="Arial"/>
          <w:szCs w:val="21"/>
        </w:rPr>
        <w:t>乙方或乙方委托方</w:t>
      </w:r>
      <w:r>
        <w:rPr>
          <w:rFonts w:ascii="宋体" w:hAnsi="宋体" w:eastAsia="宋体" w:cs="Arial"/>
          <w:szCs w:val="21"/>
        </w:rPr>
        <w:t>的员工的安全培训并做好培训记录台帐。</w:t>
      </w:r>
    </w:p>
    <w:p w14:paraId="6C01E9E2">
      <w:pPr>
        <w:pStyle w:val="4"/>
        <w:numPr>
          <w:ilvl w:val="2"/>
          <w:numId w:val="13"/>
        </w:numPr>
        <w:spacing w:before="120" w:after="120" w:line="288" w:lineRule="auto"/>
        <w:ind w:firstLineChars="0"/>
        <w:jc w:val="left"/>
        <w:rPr>
          <w:rFonts w:ascii="宋体" w:hAnsi="宋体" w:eastAsia="宋体"/>
          <w:szCs w:val="21"/>
        </w:rPr>
      </w:pPr>
      <w:r>
        <w:rPr>
          <w:rFonts w:hint="eastAsia" w:ascii="宋体" w:hAnsi="宋体" w:eastAsia="宋体"/>
          <w:szCs w:val="21"/>
        </w:rPr>
        <w:t>乙方应</w:t>
      </w:r>
      <w:r>
        <w:rPr>
          <w:rFonts w:ascii="宋体" w:hAnsi="宋体" w:eastAsia="宋体" w:cs="Arial"/>
          <w:szCs w:val="21"/>
        </w:rPr>
        <w:t>保证高风险作业者如起重工、叉车驾驶员、电工等，均接受过合格的培训且持证上岗</w:t>
      </w:r>
      <w:r>
        <w:rPr>
          <w:rFonts w:hint="eastAsia" w:ascii="宋体" w:hAnsi="宋体" w:eastAsia="宋体" w:cs="Arial"/>
          <w:szCs w:val="21"/>
        </w:rPr>
        <w:t>。</w:t>
      </w:r>
      <w:r>
        <w:rPr>
          <w:rFonts w:ascii="宋体" w:hAnsi="宋体" w:eastAsia="宋体" w:cs="Arial"/>
          <w:szCs w:val="21"/>
        </w:rPr>
        <w:t>提供员工适当的安全防护用品及良好的设备工具。合理配备监督人员，进行全程监督和管理，杜绝“三违”作业</w:t>
      </w:r>
      <w:r>
        <w:rPr>
          <w:rFonts w:hint="eastAsia" w:ascii="宋体" w:hAnsi="宋体" w:eastAsia="宋体" w:cs="Arial"/>
          <w:szCs w:val="21"/>
        </w:rPr>
        <w:t>。</w:t>
      </w:r>
    </w:p>
    <w:p w14:paraId="54427D25">
      <w:pPr>
        <w:pStyle w:val="4"/>
        <w:numPr>
          <w:ilvl w:val="2"/>
          <w:numId w:val="13"/>
        </w:numPr>
        <w:spacing w:before="120" w:after="120" w:line="288" w:lineRule="auto"/>
        <w:ind w:firstLineChars="0"/>
        <w:jc w:val="left"/>
        <w:rPr>
          <w:rFonts w:ascii="宋体" w:hAnsi="宋体" w:eastAsia="宋体"/>
          <w:szCs w:val="21"/>
        </w:rPr>
      </w:pPr>
      <w:r>
        <w:rPr>
          <w:rFonts w:hint="eastAsia" w:ascii="宋体" w:hAnsi="宋体" w:eastAsia="宋体"/>
          <w:szCs w:val="21"/>
        </w:rPr>
        <w:t>乙方应</w:t>
      </w:r>
      <w:r>
        <w:rPr>
          <w:rFonts w:ascii="宋体" w:hAnsi="宋体" w:eastAsia="宋体" w:cs="Arial"/>
          <w:szCs w:val="21"/>
        </w:rPr>
        <w:t>建立EHS管理制度包含不限于安全生产责任制管理制度、EHS操作规程</w:t>
      </w:r>
      <w:r>
        <w:rPr>
          <w:rFonts w:hint="eastAsia" w:ascii="宋体" w:hAnsi="宋体" w:eastAsia="宋体" w:cs="Arial"/>
          <w:szCs w:val="21"/>
        </w:rPr>
        <w:t>、</w:t>
      </w:r>
      <w:r>
        <w:rPr>
          <w:rFonts w:ascii="宋体" w:hAnsi="宋体" w:eastAsia="宋体" w:cs="Arial"/>
          <w:szCs w:val="21"/>
        </w:rPr>
        <w:t>EHS教育培训制度、 EHS检查排查与隐患整改制度、个人劳动保护用品、事故管理制度、特种设备管理制度、危险作业管理制度、危险化学品管理制度、应急预案管理制度，并组织交底培训，确保作业人员熟悉并掌握相关要求。</w:t>
      </w:r>
    </w:p>
    <w:p w14:paraId="0B37654C">
      <w:pPr>
        <w:pStyle w:val="4"/>
        <w:numPr>
          <w:ilvl w:val="2"/>
          <w:numId w:val="13"/>
        </w:numPr>
        <w:spacing w:before="120" w:after="120" w:line="288" w:lineRule="auto"/>
        <w:ind w:firstLineChars="0"/>
        <w:jc w:val="left"/>
        <w:rPr>
          <w:rFonts w:ascii="宋体" w:hAnsi="宋体" w:eastAsia="宋体"/>
          <w:szCs w:val="21"/>
        </w:rPr>
      </w:pPr>
      <w:r>
        <w:rPr>
          <w:rFonts w:hint="eastAsia" w:ascii="宋体" w:hAnsi="宋体" w:eastAsia="宋体" w:cs="Arial"/>
          <w:szCs w:val="21"/>
        </w:rPr>
        <w:t>乙方须</w:t>
      </w:r>
      <w:r>
        <w:rPr>
          <w:rFonts w:ascii="宋体" w:hAnsi="宋体" w:eastAsia="宋体" w:cs="Arial"/>
          <w:szCs w:val="21"/>
        </w:rPr>
        <w:t>建立现场的原材料、易燃易爆物品、危险化学品、特种设备设施、电动工具及防护用品等物资设备的清单，并接受</w:t>
      </w:r>
      <w:r>
        <w:rPr>
          <w:rFonts w:hint="eastAsia" w:ascii="宋体" w:hAnsi="宋体" w:eastAsia="宋体" w:cs="Arial"/>
          <w:szCs w:val="21"/>
        </w:rPr>
        <w:t>甲方</w:t>
      </w:r>
      <w:r>
        <w:rPr>
          <w:rFonts w:ascii="宋体" w:hAnsi="宋体" w:eastAsia="宋体" w:cs="Arial"/>
          <w:szCs w:val="21"/>
        </w:rPr>
        <w:t xml:space="preserve">的检查和监督，且不得使用国家明令禁止或淘汰的设备和材料。 </w:t>
      </w:r>
    </w:p>
    <w:p w14:paraId="355EF815">
      <w:pPr>
        <w:pStyle w:val="4"/>
        <w:numPr>
          <w:ilvl w:val="2"/>
          <w:numId w:val="13"/>
        </w:numPr>
        <w:spacing w:before="120" w:after="120" w:line="288" w:lineRule="auto"/>
        <w:ind w:firstLineChars="0"/>
        <w:jc w:val="left"/>
        <w:rPr>
          <w:rFonts w:ascii="宋体" w:hAnsi="宋体" w:eastAsia="宋体"/>
          <w:szCs w:val="21"/>
        </w:rPr>
      </w:pPr>
      <w:r>
        <w:rPr>
          <w:rFonts w:hint="eastAsia" w:ascii="宋体" w:hAnsi="宋体" w:eastAsia="宋体" w:cs="Arial"/>
          <w:szCs w:val="21"/>
        </w:rPr>
        <w:t>乙方</w:t>
      </w:r>
      <w:r>
        <w:rPr>
          <w:rFonts w:ascii="宋体" w:hAnsi="宋体" w:eastAsia="宋体" w:cs="Arial"/>
          <w:szCs w:val="21"/>
        </w:rPr>
        <w:t>在</w:t>
      </w:r>
      <w:r>
        <w:rPr>
          <w:rFonts w:hint="eastAsia" w:ascii="宋体" w:hAnsi="宋体" w:eastAsia="宋体" w:cs="Arial"/>
          <w:szCs w:val="21"/>
        </w:rPr>
        <w:t>提供服务</w:t>
      </w:r>
      <w:r>
        <w:rPr>
          <w:rFonts w:ascii="宋体" w:hAnsi="宋体" w:eastAsia="宋体" w:cs="Arial"/>
          <w:szCs w:val="21"/>
        </w:rPr>
        <w:t>过程中应有效识别施工现场消防设施，并采取技术手段避免触发火警误报或损坏消防设施。</w:t>
      </w:r>
    </w:p>
    <w:p w14:paraId="74F67999">
      <w:pPr>
        <w:pStyle w:val="4"/>
        <w:numPr>
          <w:ilvl w:val="2"/>
          <w:numId w:val="13"/>
        </w:numPr>
        <w:spacing w:before="120" w:after="120" w:line="288" w:lineRule="auto"/>
        <w:ind w:firstLineChars="0"/>
        <w:jc w:val="left"/>
        <w:rPr>
          <w:rFonts w:ascii="宋体" w:hAnsi="宋体" w:eastAsia="宋体"/>
          <w:szCs w:val="21"/>
        </w:rPr>
      </w:pPr>
      <w:r>
        <w:rPr>
          <w:rFonts w:hint="eastAsia" w:ascii="宋体" w:hAnsi="宋体" w:eastAsia="宋体" w:cs="Arial"/>
          <w:szCs w:val="21"/>
        </w:rPr>
        <w:t>乙方</w:t>
      </w:r>
      <w:r>
        <w:rPr>
          <w:rFonts w:ascii="宋体" w:hAnsi="宋体" w:eastAsia="宋体" w:cs="Arial"/>
          <w:szCs w:val="21"/>
        </w:rPr>
        <w:t>理解并</w:t>
      </w:r>
      <w:r>
        <w:rPr>
          <w:rFonts w:hint="eastAsia" w:ascii="宋体" w:hAnsi="宋体" w:eastAsia="宋体" w:cs="Arial"/>
          <w:szCs w:val="21"/>
        </w:rPr>
        <w:t>同意</w:t>
      </w:r>
      <w:r>
        <w:rPr>
          <w:rFonts w:ascii="宋体" w:hAnsi="宋体" w:eastAsia="宋体" w:cs="Arial"/>
          <w:szCs w:val="21"/>
        </w:rPr>
        <w:t>遵守</w:t>
      </w:r>
      <w:r>
        <w:rPr>
          <w:rFonts w:hint="eastAsia" w:ascii="宋体" w:hAnsi="宋体" w:eastAsia="宋体" w:cs="Arial"/>
          <w:szCs w:val="21"/>
        </w:rPr>
        <w:t>甲方</w:t>
      </w:r>
      <w:r>
        <w:rPr>
          <w:rFonts w:ascii="宋体" w:hAnsi="宋体" w:eastAsia="宋体" w:cs="Arial"/>
          <w:szCs w:val="21"/>
        </w:rPr>
        <w:t>关于</w:t>
      </w:r>
      <w:r>
        <w:rPr>
          <w:rFonts w:hint="eastAsia" w:ascii="宋体" w:hAnsi="宋体" w:eastAsia="宋体" w:cs="Arial"/>
          <w:szCs w:val="21"/>
        </w:rPr>
        <w:t>服务商</w:t>
      </w:r>
      <w:r>
        <w:rPr>
          <w:rFonts w:ascii="宋体" w:hAnsi="宋体" w:eastAsia="宋体" w:cs="Arial"/>
          <w:szCs w:val="21"/>
        </w:rPr>
        <w:t>安全管理的各类要求。</w:t>
      </w:r>
      <w:r>
        <w:rPr>
          <w:rFonts w:hint="eastAsia" w:ascii="宋体" w:hAnsi="宋体" w:eastAsia="宋体" w:cs="Arial"/>
          <w:szCs w:val="21"/>
        </w:rPr>
        <w:t>乙方在提供服务</w:t>
      </w:r>
      <w:r>
        <w:rPr>
          <w:rFonts w:ascii="宋体" w:hAnsi="宋体" w:eastAsia="宋体" w:cs="Arial"/>
          <w:szCs w:val="21"/>
        </w:rPr>
        <w:t>前必须完成工作危险分析及作业许可，并完成安全技术交底</w:t>
      </w:r>
      <w:r>
        <w:rPr>
          <w:rFonts w:hint="eastAsia" w:ascii="宋体" w:hAnsi="宋体" w:eastAsia="宋体" w:cs="Arial"/>
          <w:szCs w:val="21"/>
        </w:rPr>
        <w:t>（如涉及）</w:t>
      </w:r>
    </w:p>
    <w:p w14:paraId="6E8B3285">
      <w:pPr>
        <w:pStyle w:val="4"/>
        <w:numPr>
          <w:ilvl w:val="2"/>
          <w:numId w:val="13"/>
        </w:numPr>
        <w:spacing w:before="120" w:after="120" w:line="288" w:lineRule="auto"/>
        <w:ind w:firstLineChars="0"/>
        <w:jc w:val="left"/>
        <w:rPr>
          <w:rFonts w:ascii="宋体" w:hAnsi="宋体" w:eastAsia="宋体"/>
          <w:szCs w:val="21"/>
        </w:rPr>
      </w:pPr>
      <w:r>
        <w:rPr>
          <w:rFonts w:hint="eastAsia" w:ascii="宋体" w:hAnsi="宋体" w:eastAsia="宋体" w:cs="Arial"/>
          <w:szCs w:val="21"/>
        </w:rPr>
        <w:t>乙方应</w:t>
      </w:r>
      <w:r>
        <w:rPr>
          <w:rFonts w:ascii="宋体" w:hAnsi="宋体" w:eastAsia="宋体" w:cs="Arial"/>
          <w:szCs w:val="21"/>
        </w:rPr>
        <w:t>配合</w:t>
      </w:r>
      <w:r>
        <w:rPr>
          <w:rFonts w:hint="eastAsia" w:ascii="宋体" w:hAnsi="宋体" w:eastAsia="宋体" w:cs="Arial"/>
          <w:szCs w:val="21"/>
        </w:rPr>
        <w:t>甲方</w:t>
      </w:r>
      <w:r>
        <w:rPr>
          <w:rFonts w:ascii="宋体" w:hAnsi="宋体" w:eastAsia="宋体" w:cs="Arial"/>
          <w:szCs w:val="21"/>
        </w:rPr>
        <w:t>业务部门、工程管理部门和EHS的检查管理，落实现场的违章和隐患整改。</w:t>
      </w:r>
    </w:p>
    <w:p w14:paraId="73EB3AF6">
      <w:pPr>
        <w:pStyle w:val="4"/>
        <w:numPr>
          <w:ilvl w:val="2"/>
          <w:numId w:val="13"/>
        </w:numPr>
        <w:spacing w:before="120" w:after="120" w:line="288" w:lineRule="auto"/>
        <w:ind w:firstLineChars="0"/>
        <w:jc w:val="left"/>
        <w:rPr>
          <w:rFonts w:ascii="宋体" w:hAnsi="宋体" w:eastAsia="宋体"/>
          <w:szCs w:val="21"/>
        </w:rPr>
      </w:pPr>
      <w:r>
        <w:rPr>
          <w:rFonts w:ascii="宋体" w:hAnsi="宋体" w:eastAsia="宋体" w:cs="Arial"/>
          <w:szCs w:val="21"/>
        </w:rPr>
        <w:t>如遇有交叉作业，</w:t>
      </w:r>
      <w:r>
        <w:rPr>
          <w:rFonts w:hint="eastAsia" w:ascii="宋体" w:hAnsi="宋体" w:eastAsia="宋体" w:cs="Arial"/>
          <w:szCs w:val="21"/>
        </w:rPr>
        <w:t>乙方</w:t>
      </w:r>
      <w:r>
        <w:rPr>
          <w:rFonts w:ascii="宋体" w:hAnsi="宋体" w:eastAsia="宋体" w:cs="Arial"/>
          <w:szCs w:val="21"/>
        </w:rPr>
        <w:t>必须服从</w:t>
      </w:r>
      <w:r>
        <w:rPr>
          <w:rFonts w:hint="eastAsia" w:ascii="宋体" w:hAnsi="宋体" w:eastAsia="宋体" w:cs="Arial"/>
          <w:szCs w:val="21"/>
        </w:rPr>
        <w:t>甲方</w:t>
      </w:r>
      <w:r>
        <w:rPr>
          <w:rFonts w:ascii="宋体" w:hAnsi="宋体" w:eastAsia="宋体" w:cs="Arial"/>
          <w:szCs w:val="21"/>
        </w:rPr>
        <w:t>业务部门的统一协调和管理。</w:t>
      </w:r>
    </w:p>
    <w:p w14:paraId="78C73210">
      <w:pPr>
        <w:pStyle w:val="4"/>
        <w:numPr>
          <w:ilvl w:val="2"/>
          <w:numId w:val="13"/>
        </w:numPr>
        <w:spacing w:before="120" w:after="120" w:line="288" w:lineRule="auto"/>
        <w:ind w:firstLineChars="0"/>
        <w:jc w:val="left"/>
        <w:rPr>
          <w:rFonts w:ascii="宋体" w:hAnsi="宋体" w:eastAsia="宋体"/>
          <w:szCs w:val="21"/>
        </w:rPr>
      </w:pPr>
      <w:r>
        <w:rPr>
          <w:rFonts w:hint="eastAsia" w:ascii="宋体" w:hAnsi="宋体" w:eastAsia="宋体" w:cs="Arial"/>
          <w:szCs w:val="21"/>
        </w:rPr>
        <w:t>乙方对</w:t>
      </w:r>
      <w:r>
        <w:rPr>
          <w:rFonts w:ascii="宋体" w:hAnsi="宋体" w:eastAsia="宋体" w:cs="Arial"/>
          <w:szCs w:val="21"/>
        </w:rPr>
        <w:t>工作范围内的安全负总责。不得擅自将</w:t>
      </w:r>
      <w:r>
        <w:rPr>
          <w:rFonts w:hint="eastAsia" w:ascii="宋体" w:hAnsi="宋体" w:eastAsia="宋体" w:cs="Arial"/>
          <w:szCs w:val="21"/>
        </w:rPr>
        <w:t>服务</w:t>
      </w:r>
      <w:r>
        <w:rPr>
          <w:rFonts w:ascii="宋体" w:hAnsi="宋体" w:eastAsia="宋体" w:cs="Arial"/>
          <w:szCs w:val="21"/>
        </w:rPr>
        <w:t>项目分包或转包给不具备安全生产条件的单位和个人，一经发现</w:t>
      </w:r>
      <w:r>
        <w:rPr>
          <w:rFonts w:hint="eastAsia" w:ascii="宋体" w:hAnsi="宋体" w:eastAsia="宋体" w:cs="Arial"/>
          <w:szCs w:val="21"/>
        </w:rPr>
        <w:t>甲方</w:t>
      </w:r>
      <w:r>
        <w:rPr>
          <w:rFonts w:ascii="宋体" w:hAnsi="宋体" w:eastAsia="宋体" w:cs="Arial"/>
          <w:szCs w:val="21"/>
        </w:rPr>
        <w:t>有权责其停工整顿或解除</w:t>
      </w:r>
      <w:r>
        <w:rPr>
          <w:rFonts w:hint="eastAsia" w:ascii="宋体" w:hAnsi="宋体" w:eastAsia="宋体" w:cs="Arial"/>
          <w:szCs w:val="21"/>
        </w:rPr>
        <w:t>本协议</w:t>
      </w:r>
      <w:r>
        <w:rPr>
          <w:rFonts w:ascii="宋体" w:hAnsi="宋体" w:eastAsia="宋体" w:cs="Arial"/>
          <w:szCs w:val="21"/>
        </w:rPr>
        <w:t>。</w:t>
      </w:r>
    </w:p>
    <w:p w14:paraId="60E6986E">
      <w:pPr>
        <w:pStyle w:val="4"/>
        <w:numPr>
          <w:ilvl w:val="2"/>
          <w:numId w:val="13"/>
        </w:numPr>
        <w:spacing w:before="120" w:after="120" w:line="288" w:lineRule="auto"/>
        <w:ind w:firstLineChars="0"/>
        <w:jc w:val="left"/>
        <w:rPr>
          <w:rFonts w:ascii="宋体" w:hAnsi="宋体" w:eastAsia="宋体"/>
          <w:szCs w:val="21"/>
        </w:rPr>
      </w:pPr>
      <w:r>
        <w:rPr>
          <w:rFonts w:hint="eastAsia" w:ascii="宋体" w:hAnsi="宋体" w:eastAsia="宋体" w:cs="Arial"/>
          <w:szCs w:val="21"/>
        </w:rPr>
        <w:t>乙方</w:t>
      </w:r>
      <w:r>
        <w:rPr>
          <w:rFonts w:ascii="宋体" w:hAnsi="宋体" w:eastAsia="宋体" w:cs="Arial"/>
          <w:szCs w:val="21"/>
        </w:rPr>
        <w:t>应为本单位所有员工(包括分包商及临时雇员)购买人身意外险，应为承担本单位和员工(包括分包商及临时雇员)因其行为而造成所承包范围内的一切财产损失和意外人身伤害事故的所有法定责任。</w:t>
      </w:r>
    </w:p>
    <w:p w14:paraId="27B861BB">
      <w:pPr>
        <w:pStyle w:val="4"/>
        <w:numPr>
          <w:ilvl w:val="2"/>
          <w:numId w:val="13"/>
        </w:numPr>
        <w:spacing w:before="120" w:after="120" w:line="288" w:lineRule="auto"/>
        <w:ind w:firstLineChars="0"/>
        <w:jc w:val="left"/>
        <w:rPr>
          <w:rFonts w:ascii="宋体" w:hAnsi="宋体" w:eastAsia="宋体"/>
          <w:szCs w:val="21"/>
        </w:rPr>
      </w:pPr>
      <w:r>
        <w:rPr>
          <w:rFonts w:hint="eastAsia" w:ascii="宋体" w:hAnsi="宋体" w:eastAsia="宋体" w:cs="Arial"/>
          <w:szCs w:val="21"/>
        </w:rPr>
        <w:t>乙方</w:t>
      </w:r>
      <w:r>
        <w:rPr>
          <w:rFonts w:ascii="宋体" w:hAnsi="宋体" w:eastAsia="宋体" w:cs="Arial"/>
          <w:szCs w:val="21"/>
        </w:rPr>
        <w:t>如果发生安全事故导致</w:t>
      </w:r>
      <w:r>
        <w:rPr>
          <w:rFonts w:hint="eastAsia" w:ascii="宋体" w:hAnsi="宋体" w:eastAsia="宋体" w:cs="Arial"/>
          <w:szCs w:val="21"/>
        </w:rPr>
        <w:t>甲方作为</w:t>
      </w:r>
      <w:r>
        <w:rPr>
          <w:rFonts w:ascii="宋体" w:hAnsi="宋体" w:eastAsia="宋体" w:cs="Arial"/>
          <w:szCs w:val="21"/>
        </w:rPr>
        <w:t>第三方受到有关该安全事故的任何诉讼、仲裁、或其他程序的威胁、或任何第三方向</w:t>
      </w:r>
      <w:r>
        <w:rPr>
          <w:rFonts w:hint="eastAsia" w:ascii="宋体" w:hAnsi="宋体" w:eastAsia="宋体" w:cs="Arial"/>
          <w:szCs w:val="21"/>
        </w:rPr>
        <w:t>甲方</w:t>
      </w:r>
      <w:r>
        <w:rPr>
          <w:rFonts w:ascii="宋体" w:hAnsi="宋体" w:eastAsia="宋体" w:cs="Arial"/>
          <w:szCs w:val="21"/>
        </w:rPr>
        <w:t>或其他各方提起了上述诉讼、仲裁、或其他程序的威胁，无论基于合同还是授权、民商事法律还是行政法</w:t>
      </w:r>
      <w:r>
        <w:rPr>
          <w:rFonts w:hint="eastAsia" w:ascii="宋体" w:hAnsi="宋体" w:eastAsia="宋体" w:cs="Arial"/>
          <w:szCs w:val="21"/>
        </w:rPr>
        <w:t>，乙方</w:t>
      </w:r>
      <w:r>
        <w:rPr>
          <w:rFonts w:ascii="宋体" w:hAnsi="宋体" w:eastAsia="宋体" w:cs="Arial"/>
          <w:szCs w:val="21"/>
        </w:rPr>
        <w:t>都应给予</w:t>
      </w:r>
      <w:r>
        <w:rPr>
          <w:rFonts w:hint="eastAsia" w:ascii="宋体" w:hAnsi="宋体" w:eastAsia="宋体" w:cs="Arial"/>
          <w:szCs w:val="21"/>
        </w:rPr>
        <w:t>甲方</w:t>
      </w:r>
      <w:r>
        <w:rPr>
          <w:rFonts w:ascii="宋体" w:hAnsi="宋体" w:eastAsia="宋体" w:cs="Arial"/>
          <w:szCs w:val="21"/>
        </w:rPr>
        <w:t>和其他受影响方充分合作，支付</w:t>
      </w:r>
      <w:r>
        <w:rPr>
          <w:rFonts w:hint="eastAsia" w:ascii="宋体" w:hAnsi="宋体" w:eastAsia="宋体" w:cs="Arial"/>
          <w:szCs w:val="21"/>
        </w:rPr>
        <w:t>甲方</w:t>
      </w:r>
      <w:r>
        <w:rPr>
          <w:rFonts w:ascii="宋体" w:hAnsi="宋体" w:eastAsia="宋体" w:cs="Arial"/>
          <w:szCs w:val="21"/>
        </w:rPr>
        <w:t>和其他受影响方为此所发生的全部支出，包括但不限于诉讼费、鉴定费和律师费。对于有效判决或仲裁而必须支付的任何损害赔偿或其他补偿，</w:t>
      </w:r>
      <w:r>
        <w:rPr>
          <w:rFonts w:hint="eastAsia" w:ascii="宋体" w:hAnsi="宋体" w:eastAsia="宋体" w:cs="Arial"/>
          <w:szCs w:val="21"/>
        </w:rPr>
        <w:t>乙方</w:t>
      </w:r>
      <w:r>
        <w:rPr>
          <w:rFonts w:ascii="宋体" w:hAnsi="宋体" w:eastAsia="宋体" w:cs="Arial"/>
          <w:szCs w:val="21"/>
        </w:rPr>
        <w:t>应赔偿</w:t>
      </w:r>
      <w:r>
        <w:rPr>
          <w:rFonts w:hint="eastAsia" w:ascii="宋体" w:hAnsi="宋体" w:eastAsia="宋体" w:cs="Arial"/>
          <w:szCs w:val="21"/>
        </w:rPr>
        <w:t>甲方</w:t>
      </w:r>
      <w:r>
        <w:rPr>
          <w:rFonts w:ascii="宋体" w:hAnsi="宋体" w:eastAsia="宋体" w:cs="Arial"/>
          <w:szCs w:val="21"/>
        </w:rPr>
        <w:t>和其他影响方并使其免受损失。</w:t>
      </w:r>
    </w:p>
    <w:p w14:paraId="10A7BBD7">
      <w:pPr>
        <w:pStyle w:val="4"/>
        <w:numPr>
          <w:ilvl w:val="2"/>
          <w:numId w:val="13"/>
        </w:numPr>
        <w:spacing w:before="120" w:after="120" w:line="288" w:lineRule="auto"/>
        <w:ind w:firstLineChars="0"/>
        <w:jc w:val="left"/>
        <w:rPr>
          <w:rFonts w:ascii="宋体" w:hAnsi="宋体" w:eastAsia="宋体"/>
          <w:szCs w:val="21"/>
        </w:rPr>
      </w:pPr>
      <w:r>
        <w:rPr>
          <w:rFonts w:hint="eastAsia" w:ascii="宋体" w:hAnsi="宋体" w:eastAsia="宋体" w:cs="Arial"/>
          <w:szCs w:val="21"/>
        </w:rPr>
        <w:t>乙方</w:t>
      </w:r>
      <w:r>
        <w:rPr>
          <w:rFonts w:ascii="宋体" w:hAnsi="宋体" w:eastAsia="宋体" w:cs="Arial"/>
          <w:szCs w:val="21"/>
        </w:rPr>
        <w:t>须充分考虑直接或间接的与安全、环保、职业健康和安保相关的管理费用，包括使用个人防护用品、安全设备、安全改善等。安全费用不得挪为他用。</w:t>
      </w:r>
    </w:p>
    <w:p w14:paraId="0E062835">
      <w:pPr>
        <w:pStyle w:val="4"/>
        <w:numPr>
          <w:ilvl w:val="2"/>
          <w:numId w:val="13"/>
        </w:numPr>
        <w:spacing w:before="120" w:after="120" w:line="288" w:lineRule="auto"/>
        <w:ind w:firstLineChars="0"/>
        <w:jc w:val="left"/>
        <w:rPr>
          <w:rFonts w:ascii="宋体" w:hAnsi="宋体" w:eastAsia="宋体"/>
          <w:szCs w:val="21"/>
        </w:rPr>
      </w:pPr>
      <w:r>
        <w:rPr>
          <w:rFonts w:hint="eastAsia" w:ascii="宋体" w:hAnsi="宋体" w:eastAsia="宋体" w:cs="Arial"/>
          <w:szCs w:val="21"/>
        </w:rPr>
        <w:t>乙方</w:t>
      </w:r>
      <w:r>
        <w:rPr>
          <w:rFonts w:ascii="宋体" w:hAnsi="宋体" w:eastAsia="宋体" w:cs="Arial"/>
          <w:szCs w:val="21"/>
        </w:rPr>
        <w:t>对其工作区域内发生的安全事故负责，并承担由此造成的全部法律责任。任何突发事故，必须迅速按照既定应急预案采取有效措施组织抢救，按国家规定及时上报，不隐瞒、谎报或故意拖延不报，并按照“四不放过”的原则严肃查处各类事故。</w:t>
      </w:r>
    </w:p>
    <w:p w14:paraId="6AD555E0">
      <w:pPr>
        <w:pStyle w:val="4"/>
        <w:numPr>
          <w:ilvl w:val="2"/>
          <w:numId w:val="13"/>
        </w:numPr>
        <w:spacing w:before="120" w:after="120" w:line="288" w:lineRule="auto"/>
        <w:ind w:firstLineChars="0"/>
        <w:jc w:val="left"/>
        <w:rPr>
          <w:rFonts w:ascii="宋体" w:hAnsi="宋体" w:eastAsia="宋体"/>
          <w:szCs w:val="21"/>
        </w:rPr>
      </w:pPr>
      <w:r>
        <w:rPr>
          <w:rFonts w:hint="eastAsia" w:ascii="宋体" w:hAnsi="宋体" w:eastAsia="宋体" w:cs="Arial"/>
          <w:szCs w:val="21"/>
        </w:rPr>
        <w:t>乙方</w:t>
      </w:r>
      <w:r>
        <w:rPr>
          <w:rFonts w:ascii="宋体" w:hAnsi="宋体" w:eastAsia="宋体" w:cs="Arial"/>
          <w:szCs w:val="21"/>
        </w:rPr>
        <w:t>应建立健全劳动安全生产教育培训制度，负责职工的安全生产教育培训;作业人员未经安全生产教育培训，不得上岗作业，</w:t>
      </w:r>
      <w:r>
        <w:rPr>
          <w:rFonts w:hint="eastAsia" w:ascii="宋体" w:hAnsi="宋体" w:eastAsia="宋体" w:cs="Arial"/>
          <w:szCs w:val="21"/>
        </w:rPr>
        <w:t>乙方</w:t>
      </w:r>
      <w:r>
        <w:rPr>
          <w:rFonts w:ascii="宋体" w:hAnsi="宋体" w:eastAsia="宋体" w:cs="Arial"/>
          <w:szCs w:val="21"/>
        </w:rPr>
        <w:t>必须依法自行承担对其职工的法定培训责任。</w:t>
      </w:r>
    </w:p>
    <w:p w14:paraId="58DCCD5F">
      <w:pPr>
        <w:pStyle w:val="4"/>
        <w:numPr>
          <w:ilvl w:val="2"/>
          <w:numId w:val="13"/>
        </w:numPr>
        <w:spacing w:before="120" w:after="120" w:line="288" w:lineRule="auto"/>
        <w:ind w:firstLineChars="0"/>
        <w:jc w:val="left"/>
        <w:rPr>
          <w:rFonts w:ascii="宋体" w:hAnsi="宋体" w:eastAsia="宋体"/>
          <w:szCs w:val="21"/>
        </w:rPr>
      </w:pPr>
      <w:r>
        <w:rPr>
          <w:rFonts w:hint="eastAsia" w:ascii="宋体" w:hAnsi="宋体" w:eastAsia="宋体" w:cs="Arial"/>
          <w:szCs w:val="21"/>
        </w:rPr>
        <w:t>乙方</w:t>
      </w:r>
      <w:r>
        <w:rPr>
          <w:rFonts w:ascii="宋体" w:hAnsi="宋体" w:eastAsia="宋体" w:cs="Arial"/>
          <w:szCs w:val="21"/>
        </w:rPr>
        <w:t>须识别本单位员工在现场可能存在的职业健康危害因素，按法律法规要求组织员工进行职业健康体检，做好职业健康安全防护等工作，提供职业健康接害员工当年的职业健康体检报告扫描件备查。</w:t>
      </w:r>
    </w:p>
    <w:p w14:paraId="10D64453">
      <w:pPr>
        <w:pStyle w:val="4"/>
        <w:numPr>
          <w:ilvl w:val="2"/>
          <w:numId w:val="13"/>
        </w:numPr>
        <w:spacing w:before="120" w:after="120" w:line="288" w:lineRule="auto"/>
        <w:ind w:firstLineChars="0"/>
        <w:jc w:val="left"/>
        <w:rPr>
          <w:rFonts w:ascii="宋体" w:hAnsi="宋体" w:eastAsia="宋体"/>
          <w:szCs w:val="21"/>
        </w:rPr>
      </w:pPr>
      <w:r>
        <w:rPr>
          <w:rFonts w:hint="eastAsia" w:ascii="宋体" w:hAnsi="宋体" w:eastAsia="宋体" w:cs="Arial"/>
          <w:szCs w:val="21"/>
        </w:rPr>
        <w:t>乙方</w:t>
      </w:r>
      <w:r>
        <w:rPr>
          <w:rFonts w:ascii="宋体" w:hAnsi="宋体" w:eastAsia="宋体" w:cs="Arial"/>
          <w:szCs w:val="21"/>
        </w:rPr>
        <w:t>对工作范围内的分包安全负责，负责监督分包商的人员并负责与分包签订安全协议，作业现场应保存协议副本备查。</w:t>
      </w:r>
    </w:p>
    <w:p w14:paraId="5504876A">
      <w:pPr>
        <w:pStyle w:val="4"/>
        <w:numPr>
          <w:ilvl w:val="2"/>
          <w:numId w:val="13"/>
        </w:numPr>
        <w:spacing w:before="120" w:after="120" w:line="288" w:lineRule="auto"/>
        <w:ind w:firstLineChars="0"/>
        <w:jc w:val="left"/>
        <w:rPr>
          <w:rFonts w:ascii="宋体" w:hAnsi="宋体" w:eastAsia="宋体"/>
          <w:szCs w:val="21"/>
        </w:rPr>
      </w:pPr>
      <w:r>
        <w:rPr>
          <w:rFonts w:ascii="宋体" w:hAnsi="宋体" w:eastAsia="宋体" w:cs="Arial"/>
          <w:szCs w:val="21"/>
        </w:rPr>
        <w:t>发生安全事故时，</w:t>
      </w:r>
      <w:r>
        <w:rPr>
          <w:rFonts w:hint="eastAsia" w:ascii="宋体" w:hAnsi="宋体" w:eastAsia="宋体" w:cs="Arial"/>
          <w:szCs w:val="21"/>
        </w:rPr>
        <w:t>乙方</w:t>
      </w:r>
      <w:r>
        <w:rPr>
          <w:rFonts w:ascii="宋体" w:hAnsi="宋体" w:eastAsia="宋体" w:cs="Arial"/>
          <w:szCs w:val="21"/>
        </w:rPr>
        <w:t>应按“一报直报一报双报”的规定立即上报业务部门和</w:t>
      </w:r>
      <w:r>
        <w:rPr>
          <w:rFonts w:hint="eastAsia" w:ascii="宋体" w:hAnsi="宋体" w:eastAsia="宋体" w:cs="Arial"/>
          <w:szCs w:val="21"/>
        </w:rPr>
        <w:t>甲方</w:t>
      </w:r>
      <w:r>
        <w:rPr>
          <w:rFonts w:ascii="宋体" w:hAnsi="宋体" w:eastAsia="宋体" w:cs="Arial"/>
          <w:szCs w:val="21"/>
        </w:rPr>
        <w:t>EHS部门，同安按政府有关部门的要求处理。</w:t>
      </w:r>
    </w:p>
    <w:p w14:paraId="1B6DC8BF">
      <w:pPr>
        <w:pStyle w:val="4"/>
        <w:numPr>
          <w:ilvl w:val="2"/>
          <w:numId w:val="13"/>
        </w:numPr>
        <w:spacing w:before="120" w:after="120" w:line="288" w:lineRule="auto"/>
        <w:ind w:firstLineChars="0"/>
        <w:jc w:val="left"/>
        <w:rPr>
          <w:rFonts w:ascii="宋体" w:hAnsi="宋体" w:eastAsia="宋体"/>
          <w:szCs w:val="21"/>
        </w:rPr>
      </w:pPr>
      <w:r>
        <w:rPr>
          <w:rFonts w:ascii="宋体" w:hAnsi="宋体" w:eastAsia="宋体" w:cs="Arial"/>
          <w:szCs w:val="21"/>
        </w:rPr>
        <w:t>因</w:t>
      </w:r>
      <w:r>
        <w:rPr>
          <w:rFonts w:hint="eastAsia" w:ascii="宋体" w:hAnsi="宋体" w:eastAsia="宋体" w:cs="Arial"/>
          <w:szCs w:val="21"/>
        </w:rPr>
        <w:t>乙方</w:t>
      </w:r>
      <w:r>
        <w:rPr>
          <w:rFonts w:ascii="宋体" w:hAnsi="宋体" w:eastAsia="宋体" w:cs="Arial"/>
          <w:szCs w:val="21"/>
        </w:rPr>
        <w:t>原因导致发生的安全事故或违反业主不可容忍的相关规定时，例如:性骚扰、恐吓、教唆斗殴等，</w:t>
      </w:r>
      <w:r>
        <w:rPr>
          <w:rFonts w:hint="eastAsia" w:ascii="宋体" w:hAnsi="宋体" w:eastAsia="宋体" w:cs="Arial"/>
          <w:szCs w:val="21"/>
        </w:rPr>
        <w:t>甲方</w:t>
      </w:r>
      <w:r>
        <w:rPr>
          <w:rFonts w:ascii="宋体" w:hAnsi="宋体" w:eastAsia="宋体" w:cs="Arial"/>
          <w:szCs w:val="21"/>
        </w:rPr>
        <w:t>有权更换</w:t>
      </w:r>
      <w:r>
        <w:rPr>
          <w:rFonts w:hint="eastAsia" w:ascii="宋体" w:hAnsi="宋体" w:eastAsia="宋体" w:cs="Arial"/>
          <w:szCs w:val="21"/>
        </w:rPr>
        <w:t>乙方</w:t>
      </w:r>
      <w:r>
        <w:rPr>
          <w:rFonts w:ascii="宋体" w:hAnsi="宋体" w:eastAsia="宋体" w:cs="Arial"/>
          <w:szCs w:val="21"/>
        </w:rPr>
        <w:t>或敦促</w:t>
      </w:r>
      <w:r>
        <w:rPr>
          <w:rFonts w:hint="eastAsia" w:ascii="宋体" w:hAnsi="宋体" w:eastAsia="宋体" w:cs="Arial"/>
          <w:szCs w:val="21"/>
        </w:rPr>
        <w:t>乙方</w:t>
      </w:r>
      <w:r>
        <w:rPr>
          <w:rFonts w:ascii="宋体" w:hAnsi="宋体" w:eastAsia="宋体" w:cs="Arial"/>
          <w:szCs w:val="21"/>
        </w:rPr>
        <w:t>更换其所属员工，</w:t>
      </w:r>
      <w:r>
        <w:rPr>
          <w:rFonts w:hint="eastAsia" w:ascii="宋体" w:hAnsi="宋体" w:eastAsia="宋体" w:cs="Arial"/>
          <w:szCs w:val="21"/>
        </w:rPr>
        <w:t>乙方</w:t>
      </w:r>
      <w:r>
        <w:rPr>
          <w:rFonts w:ascii="宋体" w:hAnsi="宋体" w:eastAsia="宋体" w:cs="Arial"/>
          <w:szCs w:val="21"/>
        </w:rPr>
        <w:t>不得有异议。</w:t>
      </w:r>
    </w:p>
    <w:p w14:paraId="349D137F">
      <w:pPr>
        <w:pStyle w:val="4"/>
        <w:spacing w:before="120" w:after="120" w:line="288" w:lineRule="auto"/>
        <w:ind w:left="360" w:firstLine="0" w:firstLineChars="0"/>
        <w:jc w:val="left"/>
        <w:rPr>
          <w:rFonts w:ascii="宋体" w:hAnsi="宋体" w:eastAsia="宋体"/>
          <w:b/>
          <w:szCs w:val="21"/>
        </w:rPr>
      </w:pPr>
    </w:p>
    <w:p w14:paraId="50A6E225">
      <w:pPr>
        <w:pStyle w:val="4"/>
        <w:numPr>
          <w:ilvl w:val="0"/>
          <w:numId w:val="1"/>
        </w:numPr>
        <w:spacing w:before="120" w:after="120" w:line="288" w:lineRule="auto"/>
        <w:ind w:firstLineChars="0"/>
        <w:jc w:val="left"/>
        <w:rPr>
          <w:rFonts w:ascii="宋体" w:hAnsi="宋体" w:eastAsia="宋体"/>
          <w:b/>
          <w:szCs w:val="21"/>
        </w:rPr>
      </w:pPr>
      <w:r>
        <w:rPr>
          <w:rFonts w:hint="eastAsia" w:ascii="宋体" w:hAnsi="宋体" w:eastAsia="宋体"/>
          <w:b/>
          <w:szCs w:val="21"/>
        </w:rPr>
        <w:t>信息保密</w:t>
      </w:r>
    </w:p>
    <w:p w14:paraId="6CCABF69">
      <w:pPr>
        <w:pStyle w:val="4"/>
        <w:numPr>
          <w:ilvl w:val="1"/>
          <w:numId w:val="14"/>
        </w:numPr>
        <w:spacing w:before="120" w:after="120" w:line="288" w:lineRule="auto"/>
        <w:ind w:firstLineChars="0"/>
        <w:jc w:val="left"/>
        <w:rPr>
          <w:rFonts w:ascii="宋体" w:hAnsi="宋体" w:eastAsia="宋体"/>
          <w:szCs w:val="21"/>
        </w:rPr>
      </w:pPr>
      <w:r>
        <w:rPr>
          <w:rFonts w:hint="eastAsia" w:ascii="宋体" w:hAnsi="宋体" w:eastAsia="宋体"/>
          <w:szCs w:val="21"/>
        </w:rPr>
        <w:t>乙方应严格遵守投标时同甲方签署的《保密协议》，严格履行《保密协议》项下约定的保密义务。</w:t>
      </w:r>
    </w:p>
    <w:p w14:paraId="680BAB1C">
      <w:pPr>
        <w:pStyle w:val="4"/>
        <w:numPr>
          <w:ilvl w:val="1"/>
          <w:numId w:val="14"/>
        </w:numPr>
        <w:spacing w:before="120" w:after="120" w:line="288" w:lineRule="auto"/>
        <w:ind w:firstLineChars="0"/>
        <w:jc w:val="left"/>
        <w:rPr>
          <w:rFonts w:ascii="宋体" w:hAnsi="宋体" w:eastAsia="宋体"/>
          <w:szCs w:val="21"/>
        </w:rPr>
      </w:pPr>
      <w:r>
        <w:rPr>
          <w:rFonts w:hint="eastAsia" w:ascii="宋体" w:hAnsi="宋体" w:eastAsia="宋体"/>
          <w:szCs w:val="21"/>
        </w:rPr>
        <w:t>乙方同甲方签署的《保密协议》同样适用于本协议，乙方应对本协议项下所有条款履行保密义务。</w:t>
      </w:r>
    </w:p>
    <w:p w14:paraId="4717874A">
      <w:pPr>
        <w:pStyle w:val="4"/>
        <w:numPr>
          <w:ilvl w:val="1"/>
          <w:numId w:val="14"/>
        </w:numPr>
        <w:spacing w:before="120" w:after="120" w:line="288" w:lineRule="auto"/>
        <w:ind w:firstLineChars="0"/>
        <w:jc w:val="left"/>
        <w:rPr>
          <w:rFonts w:ascii="宋体" w:hAnsi="宋体" w:eastAsia="宋体"/>
          <w:szCs w:val="21"/>
        </w:rPr>
      </w:pPr>
      <w:r>
        <w:rPr>
          <w:rFonts w:hint="eastAsia" w:ascii="宋体" w:hAnsi="宋体" w:eastAsia="宋体"/>
          <w:szCs w:val="21"/>
        </w:rPr>
        <w:t>乙方违反本协议约定的保密义务的，甲方有权依据《保密协议》的约定追究乙方的违约责任。</w:t>
      </w:r>
    </w:p>
    <w:p w14:paraId="565F6D9C">
      <w:pPr>
        <w:spacing w:before="120" w:after="120" w:line="288" w:lineRule="auto"/>
        <w:jc w:val="left"/>
        <w:rPr>
          <w:rFonts w:ascii="宋体" w:hAnsi="宋体" w:eastAsia="宋体"/>
          <w:szCs w:val="21"/>
        </w:rPr>
      </w:pPr>
    </w:p>
    <w:p w14:paraId="1839356E">
      <w:pPr>
        <w:pStyle w:val="4"/>
        <w:numPr>
          <w:ilvl w:val="0"/>
          <w:numId w:val="1"/>
        </w:numPr>
        <w:spacing w:before="120" w:after="120" w:line="288" w:lineRule="auto"/>
        <w:ind w:firstLineChars="0"/>
        <w:jc w:val="left"/>
        <w:rPr>
          <w:rFonts w:ascii="宋体" w:hAnsi="宋体" w:eastAsia="宋体"/>
          <w:b/>
          <w:szCs w:val="21"/>
        </w:rPr>
      </w:pPr>
      <w:r>
        <w:rPr>
          <w:rFonts w:hint="eastAsia" w:ascii="宋体" w:hAnsi="宋体" w:eastAsia="宋体"/>
          <w:b/>
          <w:szCs w:val="21"/>
        </w:rPr>
        <w:t>弃权及不可抗力</w:t>
      </w:r>
    </w:p>
    <w:p w14:paraId="440AD00B">
      <w:pPr>
        <w:pStyle w:val="4"/>
        <w:numPr>
          <w:ilvl w:val="1"/>
          <w:numId w:val="15"/>
        </w:numPr>
        <w:spacing w:before="120" w:after="120" w:line="288" w:lineRule="auto"/>
        <w:ind w:firstLineChars="0"/>
        <w:jc w:val="left"/>
        <w:rPr>
          <w:rFonts w:ascii="宋体" w:hAnsi="宋体" w:eastAsia="宋体"/>
          <w:szCs w:val="21"/>
        </w:rPr>
      </w:pPr>
      <w:r>
        <w:rPr>
          <w:rFonts w:ascii="宋体" w:hAnsi="宋体" w:eastAsia="宋体" w:cs="Arial"/>
          <w:color w:val="1F2329"/>
          <w:szCs w:val="21"/>
        </w:rPr>
        <w:t>任何一方延期行使、疏于行使或未能行使本协议提供的任何权利或救济的，不视为对该等权利或救济的弃权，也不视为对引起该等权利或救济的事件的默许。该方可不定期并以其认为适宜的频率行使该等权利或救济。</w:t>
      </w:r>
    </w:p>
    <w:p w14:paraId="59B6B8C7">
      <w:pPr>
        <w:pStyle w:val="4"/>
        <w:numPr>
          <w:ilvl w:val="1"/>
          <w:numId w:val="15"/>
        </w:numPr>
        <w:spacing w:before="120" w:after="120" w:line="288" w:lineRule="auto"/>
        <w:ind w:firstLineChars="0"/>
        <w:jc w:val="left"/>
        <w:rPr>
          <w:rFonts w:ascii="宋体" w:hAnsi="宋体" w:eastAsia="宋体"/>
          <w:szCs w:val="21"/>
        </w:rPr>
      </w:pPr>
      <w:r>
        <w:rPr>
          <w:rFonts w:ascii="宋体" w:hAnsi="宋体" w:eastAsia="宋体" w:cs="Arial"/>
          <w:color w:val="1F2329"/>
          <w:szCs w:val="21"/>
        </w:rPr>
        <w:t>如果以下超出本协议一方合理控制的情形导致该方在履行其在本协议下的全部或部分义务时受到妨碍或干扰，则在该等妨碍或干扰持续的期间，该方无须履行该等义务免于承担责任：暴乱、国家之间的战争或敌对、天灾、火灾、暴风雨、水灾、地震、罢工、停工、劳动争议、乙方短缺或延期、原材料短缺或削减、互联网访问中断、无法连接互联网、缺少劳工、电力或其他公用事业服务、任何政府限制、经济萧条以及其他类似或不同的意外事件。</w:t>
      </w:r>
    </w:p>
    <w:p w14:paraId="6C7C6ACA">
      <w:pPr>
        <w:pStyle w:val="4"/>
        <w:spacing w:before="120" w:after="120" w:line="288" w:lineRule="auto"/>
        <w:ind w:left="440" w:firstLine="0" w:firstLineChars="0"/>
        <w:jc w:val="left"/>
        <w:rPr>
          <w:rFonts w:ascii="宋体" w:hAnsi="宋体" w:eastAsia="宋体"/>
          <w:szCs w:val="21"/>
        </w:rPr>
      </w:pPr>
    </w:p>
    <w:p w14:paraId="2C6FBAF2">
      <w:pPr>
        <w:pStyle w:val="4"/>
        <w:numPr>
          <w:ilvl w:val="0"/>
          <w:numId w:val="1"/>
        </w:numPr>
        <w:spacing w:before="120" w:after="120" w:line="288" w:lineRule="auto"/>
        <w:ind w:firstLineChars="0"/>
        <w:jc w:val="left"/>
        <w:rPr>
          <w:rFonts w:ascii="宋体" w:hAnsi="宋体" w:eastAsia="宋体"/>
          <w:b/>
          <w:szCs w:val="21"/>
        </w:rPr>
      </w:pPr>
      <w:r>
        <w:rPr>
          <w:rFonts w:hint="eastAsia" w:ascii="宋体" w:hAnsi="宋体" w:eastAsia="宋体"/>
          <w:b/>
          <w:szCs w:val="21"/>
        </w:rPr>
        <w:t>条款解释</w:t>
      </w:r>
    </w:p>
    <w:p w14:paraId="059C80F7">
      <w:pPr>
        <w:pStyle w:val="4"/>
        <w:numPr>
          <w:ilvl w:val="1"/>
          <w:numId w:val="16"/>
        </w:numPr>
        <w:spacing w:before="120" w:after="120" w:line="288" w:lineRule="auto"/>
        <w:ind w:firstLineChars="0"/>
        <w:jc w:val="left"/>
        <w:rPr>
          <w:rFonts w:ascii="宋体" w:hAnsi="宋体" w:eastAsia="宋体"/>
          <w:szCs w:val="21"/>
        </w:rPr>
      </w:pPr>
      <w:r>
        <w:rPr>
          <w:rFonts w:ascii="宋体" w:hAnsi="宋体" w:eastAsia="宋体" w:cs="Arial"/>
          <w:color w:val="1F2329"/>
          <w:szCs w:val="21"/>
        </w:rPr>
        <w:t>本协议的标题仅供参考，不影响本协议的解释。如果本协议正文条款与附件冲突，则以本协议正文条款为准。</w:t>
      </w:r>
    </w:p>
    <w:p w14:paraId="57E207EB">
      <w:pPr>
        <w:pStyle w:val="4"/>
        <w:numPr>
          <w:ilvl w:val="1"/>
          <w:numId w:val="16"/>
        </w:numPr>
        <w:spacing w:before="120" w:after="120" w:line="288" w:lineRule="auto"/>
        <w:ind w:firstLineChars="0"/>
        <w:jc w:val="left"/>
        <w:rPr>
          <w:rFonts w:ascii="宋体" w:hAnsi="宋体" w:eastAsia="宋体"/>
          <w:szCs w:val="21"/>
        </w:rPr>
      </w:pPr>
      <w:r>
        <w:rPr>
          <w:rFonts w:ascii="宋体" w:hAnsi="宋体" w:eastAsia="宋体" w:cs="Arial"/>
          <w:color w:val="1F2329"/>
          <w:szCs w:val="21"/>
        </w:rPr>
        <w:t xml:space="preserve">“其他”“包括”和“特别”未限制其前面词语或短语的适用范围，不得在可以作出更宽泛的解释时将其限于该等词语或短语的类别。 </w:t>
      </w:r>
    </w:p>
    <w:p w14:paraId="58BD8036">
      <w:pPr>
        <w:pStyle w:val="4"/>
        <w:numPr>
          <w:ilvl w:val="1"/>
          <w:numId w:val="16"/>
        </w:numPr>
        <w:spacing w:before="120" w:after="120" w:line="288" w:lineRule="auto"/>
        <w:ind w:firstLineChars="0"/>
        <w:jc w:val="left"/>
        <w:rPr>
          <w:rFonts w:ascii="宋体" w:hAnsi="宋体" w:eastAsia="宋体"/>
          <w:szCs w:val="21"/>
        </w:rPr>
      </w:pPr>
      <w:r>
        <w:rPr>
          <w:rFonts w:ascii="宋体" w:hAnsi="宋体" w:eastAsia="宋体" w:cs="Arial"/>
          <w:color w:val="1F2329"/>
          <w:szCs w:val="21"/>
        </w:rPr>
        <w:t>如须按照本协议条款获得甲方同意，则甲方可依单方绝对酌情权予以同意，但不得无故拒绝同意</w:t>
      </w:r>
      <w:r>
        <w:rPr>
          <w:rFonts w:hint="eastAsia" w:ascii="宋体" w:hAnsi="宋体" w:eastAsia="宋体" w:cs="Arial"/>
          <w:color w:val="1F2329"/>
          <w:szCs w:val="21"/>
        </w:rPr>
        <w:t>。</w:t>
      </w:r>
    </w:p>
    <w:p w14:paraId="58DA8F2F">
      <w:pPr>
        <w:pStyle w:val="4"/>
        <w:numPr>
          <w:ilvl w:val="1"/>
          <w:numId w:val="16"/>
        </w:numPr>
        <w:spacing w:before="120" w:after="120" w:line="288" w:lineRule="auto"/>
        <w:ind w:firstLineChars="0"/>
        <w:jc w:val="left"/>
        <w:rPr>
          <w:rFonts w:ascii="宋体" w:hAnsi="宋体" w:eastAsia="宋体"/>
          <w:szCs w:val="21"/>
        </w:rPr>
      </w:pPr>
      <w:r>
        <w:rPr>
          <w:rFonts w:ascii="宋体" w:hAnsi="宋体" w:eastAsia="宋体" w:cs="Arial"/>
          <w:color w:val="1F2329"/>
          <w:szCs w:val="21"/>
        </w:rPr>
        <w:t>如果乙方违反本协议，并且违约导致甲方按照本协议中一条以上的条文享有救济或诉讼权利，则甲方可选择寻求救济所依据的条款，亦可寻求一条以上的条文提供的一项以上的救济。特别是，甲方因违约享有的终止本协议的权利不影响其通过其他合法救济要求损害赔偿的权利。</w:t>
      </w:r>
    </w:p>
    <w:p w14:paraId="4D5B3173">
      <w:pPr>
        <w:pStyle w:val="4"/>
        <w:spacing w:before="120" w:after="120" w:line="288" w:lineRule="auto"/>
        <w:ind w:left="360" w:firstLine="0" w:firstLineChars="0"/>
        <w:jc w:val="left"/>
        <w:rPr>
          <w:rFonts w:ascii="宋体" w:hAnsi="宋体" w:eastAsia="宋体"/>
          <w:szCs w:val="21"/>
        </w:rPr>
      </w:pPr>
    </w:p>
    <w:p w14:paraId="08CAF201">
      <w:pPr>
        <w:pStyle w:val="4"/>
        <w:numPr>
          <w:ilvl w:val="0"/>
          <w:numId w:val="1"/>
        </w:numPr>
        <w:spacing w:before="120" w:after="120" w:line="288" w:lineRule="auto"/>
        <w:ind w:firstLineChars="0"/>
        <w:jc w:val="left"/>
        <w:rPr>
          <w:rFonts w:ascii="宋体" w:hAnsi="宋体" w:eastAsia="宋体"/>
          <w:b/>
          <w:szCs w:val="21"/>
        </w:rPr>
      </w:pPr>
      <w:r>
        <w:rPr>
          <w:rFonts w:hint="eastAsia" w:ascii="宋体" w:hAnsi="宋体" w:eastAsia="宋体"/>
          <w:b/>
          <w:szCs w:val="21"/>
        </w:rPr>
        <w:t>通知条款</w:t>
      </w:r>
    </w:p>
    <w:p w14:paraId="49AE3734">
      <w:pPr>
        <w:pStyle w:val="4"/>
        <w:numPr>
          <w:ilvl w:val="1"/>
          <w:numId w:val="17"/>
        </w:numPr>
        <w:spacing w:before="120" w:after="120" w:line="288" w:lineRule="auto"/>
        <w:ind w:firstLineChars="0"/>
        <w:jc w:val="left"/>
        <w:rPr>
          <w:rFonts w:ascii="宋体" w:hAnsi="宋体" w:eastAsia="宋体"/>
          <w:szCs w:val="21"/>
        </w:rPr>
      </w:pPr>
      <w:r>
        <w:rPr>
          <w:rFonts w:ascii="宋体" w:hAnsi="宋体" w:eastAsia="宋体" w:cs="Arial"/>
          <w:color w:val="1F2329"/>
          <w:szCs w:val="21"/>
        </w:rPr>
        <w:t>除非双方另有约定，否则，任何一方按照本协议规定需要向另一方发送的任何通知、要求、文件、同意或其他通信应当采用书面形式，并通过一类（预付邮资）邮件或者通过电子邮件的方式发送至以下地址：</w:t>
      </w:r>
    </w:p>
    <w:p w14:paraId="0D1EF058">
      <w:pPr>
        <w:pStyle w:val="4"/>
        <w:spacing w:before="120" w:after="120" w:line="288" w:lineRule="auto"/>
        <w:ind w:left="440" w:firstLine="0" w:firstLineChars="0"/>
        <w:jc w:val="left"/>
        <w:rPr>
          <w:rFonts w:ascii="宋体" w:hAnsi="宋体" w:eastAsia="宋体"/>
          <w:szCs w:val="21"/>
          <w:highlight w:val="yellow"/>
        </w:rPr>
      </w:pPr>
      <w:r>
        <w:rPr>
          <w:rFonts w:ascii="宋体" w:hAnsi="宋体" w:eastAsia="宋体" w:cs="Arial"/>
          <w:color w:val="1F2329"/>
          <w:szCs w:val="21"/>
          <w:highlight w:val="yellow"/>
        </w:rPr>
        <w:t>如发送给</w:t>
      </w:r>
      <w:r>
        <w:rPr>
          <w:rFonts w:hint="eastAsia" w:ascii="宋体" w:hAnsi="宋体" w:eastAsia="宋体" w:cs="Arial"/>
          <w:color w:val="1F2329"/>
          <w:szCs w:val="21"/>
          <w:highlight w:val="yellow"/>
        </w:rPr>
        <w:t>甲方</w:t>
      </w:r>
      <w:r>
        <w:rPr>
          <w:rFonts w:ascii="宋体" w:hAnsi="宋体" w:eastAsia="宋体" w:cs="Arial"/>
          <w:color w:val="1F2329"/>
          <w:szCs w:val="21"/>
          <w:highlight w:val="yellow"/>
        </w:rPr>
        <w:t>，则发送至：</w:t>
      </w:r>
    </w:p>
    <w:p w14:paraId="2A7AD7BA">
      <w:pPr>
        <w:pStyle w:val="4"/>
        <w:spacing w:before="120" w:after="120" w:line="288" w:lineRule="auto"/>
        <w:ind w:left="440" w:firstLine="0" w:firstLineChars="0"/>
        <w:jc w:val="left"/>
        <w:rPr>
          <w:rFonts w:ascii="宋体" w:hAnsi="宋体" w:eastAsia="宋体" w:cs="Arial"/>
          <w:color w:val="1F2329"/>
          <w:szCs w:val="21"/>
          <w:highlight w:val="yellow"/>
        </w:rPr>
      </w:pPr>
      <w:r>
        <w:rPr>
          <w:rFonts w:ascii="宋体" w:hAnsi="宋体" w:eastAsia="宋体" w:cs="Arial"/>
          <w:color w:val="1F2329"/>
          <w:szCs w:val="21"/>
          <w:highlight w:val="yellow"/>
        </w:rPr>
        <w:t>收件人</w:t>
      </w:r>
      <w:r>
        <w:rPr>
          <w:rFonts w:hint="eastAsia" w:ascii="宋体" w:hAnsi="宋体" w:eastAsia="宋体" w:cs="Arial"/>
          <w:color w:val="1F2329"/>
          <w:szCs w:val="21"/>
          <w:highlight w:val="yellow"/>
        </w:rPr>
        <w:t>一</w:t>
      </w:r>
      <w:r>
        <w:rPr>
          <w:rFonts w:ascii="宋体" w:hAnsi="宋体" w:eastAsia="宋体" w:cs="Arial"/>
          <w:color w:val="1F2329"/>
          <w:szCs w:val="21"/>
          <w:highlight w:val="yellow"/>
        </w:rPr>
        <w:t xml:space="preserve">： </w:t>
      </w:r>
      <w:r>
        <w:rPr>
          <w:rFonts w:hint="eastAsia" w:ascii="宋体" w:hAnsi="宋体" w:eastAsia="宋体" w:cs="Arial"/>
          <w:color w:val="1F2329"/>
          <w:szCs w:val="21"/>
          <w:highlight w:val="yellow"/>
        </w:rPr>
        <w:t>【】</w:t>
      </w:r>
      <w:r>
        <w:rPr>
          <w:rFonts w:ascii="宋体" w:hAnsi="宋体" w:eastAsia="宋体" w:cs="Arial"/>
          <w:color w:val="1F2329"/>
          <w:szCs w:val="21"/>
          <w:highlight w:val="yellow"/>
        </w:rPr>
        <w:t xml:space="preserve"> </w:t>
      </w:r>
    </w:p>
    <w:p w14:paraId="7703B6A3">
      <w:pPr>
        <w:pStyle w:val="4"/>
        <w:spacing w:before="120" w:after="120" w:line="288" w:lineRule="auto"/>
        <w:ind w:left="440" w:firstLine="0" w:firstLineChars="0"/>
        <w:jc w:val="left"/>
        <w:rPr>
          <w:rFonts w:ascii="宋体" w:hAnsi="宋体" w:eastAsia="宋体" w:cs="Arial"/>
          <w:color w:val="1F2329"/>
          <w:szCs w:val="21"/>
          <w:highlight w:val="yellow"/>
        </w:rPr>
      </w:pPr>
      <w:r>
        <w:rPr>
          <w:rFonts w:ascii="宋体" w:hAnsi="宋体" w:eastAsia="宋体" w:cs="Arial"/>
          <w:color w:val="1F2329"/>
          <w:szCs w:val="21"/>
          <w:highlight w:val="yellow"/>
        </w:rPr>
        <w:t xml:space="preserve">地址： </w:t>
      </w:r>
      <w:r>
        <w:rPr>
          <w:rFonts w:hint="eastAsia" w:ascii="宋体" w:hAnsi="宋体" w:eastAsia="宋体" w:cs="Arial"/>
          <w:color w:val="1F2329"/>
          <w:szCs w:val="21"/>
          <w:highlight w:val="yellow"/>
        </w:rPr>
        <w:t>【】</w:t>
      </w:r>
    </w:p>
    <w:p w14:paraId="67BF8370">
      <w:pPr>
        <w:pStyle w:val="4"/>
        <w:spacing w:before="120" w:after="120" w:line="288" w:lineRule="auto"/>
        <w:ind w:left="440" w:firstLine="0" w:firstLineChars="0"/>
        <w:jc w:val="left"/>
        <w:rPr>
          <w:rFonts w:ascii="宋体" w:hAnsi="宋体" w:eastAsia="宋体" w:cs="Arial"/>
          <w:color w:val="1F2329"/>
          <w:szCs w:val="21"/>
          <w:highlight w:val="yellow"/>
        </w:rPr>
      </w:pPr>
      <w:r>
        <w:rPr>
          <w:rFonts w:ascii="宋体" w:hAnsi="宋体" w:eastAsia="宋体" w:cs="Arial"/>
          <w:color w:val="1F2329"/>
          <w:szCs w:val="21"/>
          <w:highlight w:val="yellow"/>
        </w:rPr>
        <w:t xml:space="preserve">电子邮箱： </w:t>
      </w:r>
      <w:r>
        <w:rPr>
          <w:rFonts w:hint="eastAsia" w:ascii="宋体" w:hAnsi="宋体" w:eastAsia="宋体" w:cs="Arial"/>
          <w:color w:val="1F2329"/>
          <w:szCs w:val="21"/>
          <w:highlight w:val="yellow"/>
        </w:rPr>
        <w:t>【】</w:t>
      </w:r>
    </w:p>
    <w:p w14:paraId="70E26E5C">
      <w:pPr>
        <w:pStyle w:val="4"/>
        <w:spacing w:before="120" w:after="120" w:line="288" w:lineRule="auto"/>
        <w:ind w:left="440" w:firstLine="0" w:firstLineChars="0"/>
        <w:jc w:val="left"/>
        <w:rPr>
          <w:rFonts w:ascii="宋体" w:hAnsi="宋体" w:eastAsia="宋体" w:cs="Arial"/>
          <w:color w:val="1F2329"/>
          <w:szCs w:val="21"/>
        </w:rPr>
      </w:pPr>
      <w:r>
        <w:rPr>
          <w:rFonts w:ascii="宋体" w:hAnsi="宋体" w:eastAsia="宋体" w:cs="Arial"/>
          <w:color w:val="1F2329"/>
          <w:szCs w:val="21"/>
        </w:rPr>
        <w:t xml:space="preserve">       </w:t>
      </w:r>
    </w:p>
    <w:p w14:paraId="28F24EA2">
      <w:pPr>
        <w:pStyle w:val="4"/>
        <w:numPr>
          <w:ilvl w:val="1"/>
          <w:numId w:val="17"/>
        </w:numPr>
        <w:spacing w:before="120" w:after="120" w:line="288" w:lineRule="auto"/>
        <w:ind w:firstLineChars="0"/>
        <w:jc w:val="left"/>
        <w:rPr>
          <w:rFonts w:ascii="宋体" w:hAnsi="宋体" w:eastAsia="宋体"/>
          <w:szCs w:val="21"/>
        </w:rPr>
      </w:pPr>
      <w:r>
        <w:rPr>
          <w:rFonts w:ascii="宋体" w:hAnsi="宋体" w:eastAsia="宋体" w:cs="Arial"/>
          <w:color w:val="1F2329"/>
          <w:szCs w:val="21"/>
        </w:rPr>
        <w:t>通过邮寄方式发送的任何通知应当被视为在其寄出后（接收地的）三（3）个工作日结束时已经正式送达；通过电子邮件发送的任何通知应当被视为在传输之时已经正式送达，前提是该等传输是发生在（接收地的）正常工作时间。</w:t>
      </w:r>
    </w:p>
    <w:p w14:paraId="0FFDA99C">
      <w:pPr>
        <w:pStyle w:val="4"/>
        <w:numPr>
          <w:ilvl w:val="1"/>
          <w:numId w:val="17"/>
        </w:numPr>
        <w:spacing w:before="120" w:after="120" w:line="288" w:lineRule="auto"/>
        <w:ind w:firstLineChars="0"/>
        <w:jc w:val="left"/>
        <w:rPr>
          <w:rFonts w:ascii="宋体" w:hAnsi="宋体" w:eastAsia="宋体"/>
          <w:szCs w:val="21"/>
        </w:rPr>
      </w:pPr>
      <w:r>
        <w:rPr>
          <w:rFonts w:ascii="宋体" w:hAnsi="宋体" w:eastAsia="宋体" w:cs="Arial"/>
          <w:color w:val="1F2329"/>
          <w:szCs w:val="21"/>
        </w:rPr>
        <w:t>任何一方可随时按照本条规定通过向另一方发送书面通知的方式变更其接收通知的地址。</w:t>
      </w:r>
    </w:p>
    <w:p w14:paraId="19D952F7">
      <w:pPr>
        <w:spacing w:before="120" w:after="120" w:line="288" w:lineRule="auto"/>
        <w:jc w:val="left"/>
        <w:rPr>
          <w:rFonts w:ascii="宋体" w:hAnsi="宋体" w:eastAsia="宋体"/>
          <w:b/>
          <w:szCs w:val="21"/>
        </w:rPr>
      </w:pPr>
    </w:p>
    <w:p w14:paraId="6C08DD9E">
      <w:pPr>
        <w:pStyle w:val="4"/>
        <w:numPr>
          <w:ilvl w:val="0"/>
          <w:numId w:val="1"/>
        </w:numPr>
        <w:spacing w:before="120" w:after="120" w:line="288" w:lineRule="auto"/>
        <w:ind w:firstLineChars="0"/>
        <w:jc w:val="left"/>
        <w:rPr>
          <w:rFonts w:ascii="宋体" w:hAnsi="宋体" w:eastAsia="宋体"/>
          <w:b/>
          <w:szCs w:val="21"/>
        </w:rPr>
      </w:pPr>
      <w:r>
        <w:rPr>
          <w:rFonts w:ascii="宋体" w:hAnsi="宋体" w:eastAsia="宋体" w:cs="Arial"/>
          <w:b/>
          <w:color w:val="1F2329"/>
          <w:szCs w:val="21"/>
        </w:rPr>
        <w:t>协议文件</w:t>
      </w:r>
    </w:p>
    <w:p w14:paraId="057637C8">
      <w:pPr>
        <w:pStyle w:val="4"/>
        <w:numPr>
          <w:ilvl w:val="1"/>
          <w:numId w:val="18"/>
        </w:numPr>
        <w:spacing w:before="120" w:after="120" w:line="288" w:lineRule="auto"/>
        <w:ind w:firstLineChars="0"/>
        <w:jc w:val="left"/>
        <w:rPr>
          <w:rFonts w:ascii="宋体" w:hAnsi="宋体" w:eastAsia="宋体"/>
          <w:szCs w:val="21"/>
        </w:rPr>
      </w:pPr>
      <w:r>
        <w:rPr>
          <w:rFonts w:ascii="宋体" w:hAnsi="宋体" w:eastAsia="宋体" w:cs="Arial"/>
          <w:color w:val="1F2329"/>
          <w:szCs w:val="21"/>
        </w:rPr>
        <w:t>乙方为甲方提供的任何服务应适用本协议以及以下文件规定的条款和条件：</w:t>
      </w:r>
    </w:p>
    <w:p w14:paraId="719FB410">
      <w:pPr>
        <w:pStyle w:val="4"/>
        <w:numPr>
          <w:ilvl w:val="2"/>
          <w:numId w:val="18"/>
        </w:numPr>
        <w:spacing w:before="120" w:after="120" w:line="288" w:lineRule="auto"/>
        <w:ind w:firstLineChars="0"/>
        <w:jc w:val="left"/>
        <w:rPr>
          <w:rFonts w:ascii="宋体" w:hAnsi="宋体" w:eastAsia="宋体"/>
          <w:szCs w:val="21"/>
        </w:rPr>
      </w:pPr>
      <w:r>
        <w:rPr>
          <w:rFonts w:hint="eastAsia" w:ascii="宋体" w:hAnsi="宋体" w:eastAsia="宋体" w:cs="Arial"/>
          <w:color w:val="1F2329"/>
          <w:szCs w:val="21"/>
        </w:rPr>
        <w:t>本协议附件一：技术要求</w:t>
      </w:r>
      <w:r>
        <w:rPr>
          <w:rFonts w:ascii="宋体" w:hAnsi="宋体" w:eastAsia="宋体" w:cs="Arial"/>
          <w:color w:val="1F2329"/>
          <w:szCs w:val="21"/>
        </w:rPr>
        <w:t>_整车运输_</w:t>
      </w:r>
      <w:r>
        <w:rPr>
          <w:rFonts w:hint="eastAsia" w:ascii="宋体" w:hAnsi="宋体" w:eastAsia="宋体" w:cs="Arial"/>
          <w:color w:val="1F2329"/>
          <w:szCs w:val="21"/>
        </w:rPr>
        <w:t>水路</w:t>
      </w:r>
      <w:r>
        <w:rPr>
          <w:rFonts w:ascii="宋体" w:hAnsi="宋体" w:eastAsia="宋体" w:cs="Arial"/>
          <w:color w:val="1F2329"/>
          <w:szCs w:val="21"/>
        </w:rPr>
        <w:t>运输</w:t>
      </w:r>
      <w:r>
        <w:rPr>
          <w:rFonts w:hint="eastAsia" w:ascii="宋体" w:hAnsi="宋体" w:eastAsia="宋体" w:cs="Arial"/>
          <w:color w:val="1F2329"/>
          <w:szCs w:val="21"/>
        </w:rPr>
        <w:t>；</w:t>
      </w:r>
    </w:p>
    <w:p w14:paraId="1F126E36">
      <w:pPr>
        <w:pStyle w:val="4"/>
        <w:numPr>
          <w:ilvl w:val="2"/>
          <w:numId w:val="18"/>
        </w:numPr>
        <w:spacing w:before="120" w:after="120" w:line="288" w:lineRule="auto"/>
        <w:ind w:firstLineChars="0"/>
        <w:jc w:val="left"/>
        <w:rPr>
          <w:rFonts w:ascii="宋体" w:hAnsi="宋体" w:eastAsia="宋体"/>
          <w:szCs w:val="21"/>
        </w:rPr>
      </w:pPr>
      <w:r>
        <w:rPr>
          <w:rFonts w:hint="eastAsia" w:ascii="宋体" w:hAnsi="宋体" w:eastAsia="宋体" w:cs="Arial"/>
          <w:color w:val="1F2329"/>
          <w:szCs w:val="21"/>
        </w:rPr>
        <w:t>本协议附件二：商品车质损及索赔流程；</w:t>
      </w:r>
    </w:p>
    <w:p w14:paraId="7AFCEE86">
      <w:pPr>
        <w:pStyle w:val="4"/>
        <w:numPr>
          <w:ilvl w:val="2"/>
          <w:numId w:val="18"/>
        </w:numPr>
        <w:spacing w:before="120" w:after="120" w:line="288" w:lineRule="auto"/>
        <w:ind w:firstLineChars="0"/>
        <w:jc w:val="left"/>
        <w:rPr>
          <w:rFonts w:ascii="宋体" w:hAnsi="宋体" w:eastAsia="宋体"/>
          <w:szCs w:val="21"/>
        </w:rPr>
      </w:pPr>
      <w:r>
        <w:rPr>
          <w:rFonts w:hint="eastAsia" w:ascii="宋体" w:hAnsi="宋体" w:eastAsia="宋体"/>
          <w:szCs w:val="21"/>
        </w:rPr>
        <w:t>本协议附件三：整车物流管理考核细则；</w:t>
      </w:r>
    </w:p>
    <w:p w14:paraId="3E3AE865">
      <w:pPr>
        <w:pStyle w:val="4"/>
        <w:numPr>
          <w:ilvl w:val="2"/>
          <w:numId w:val="18"/>
        </w:numPr>
        <w:spacing w:before="120" w:after="120" w:line="288" w:lineRule="auto"/>
        <w:ind w:firstLineChars="0"/>
        <w:jc w:val="left"/>
        <w:rPr>
          <w:rFonts w:ascii="宋体" w:hAnsi="宋体" w:eastAsia="宋体"/>
          <w:szCs w:val="21"/>
        </w:rPr>
      </w:pPr>
      <w:r>
        <w:rPr>
          <w:rFonts w:hint="eastAsia" w:ascii="宋体" w:hAnsi="宋体" w:eastAsia="宋体"/>
          <w:szCs w:val="21"/>
        </w:rPr>
        <w:t>本协议附件四：商品车验车及交接操作指导；</w:t>
      </w:r>
    </w:p>
    <w:p w14:paraId="5054E268">
      <w:pPr>
        <w:pStyle w:val="4"/>
        <w:numPr>
          <w:ilvl w:val="2"/>
          <w:numId w:val="18"/>
        </w:numPr>
        <w:spacing w:before="120" w:after="120" w:line="288" w:lineRule="auto"/>
        <w:ind w:firstLineChars="0"/>
        <w:jc w:val="left"/>
        <w:rPr>
          <w:rFonts w:ascii="宋体" w:hAnsi="宋体" w:eastAsia="宋体"/>
          <w:szCs w:val="21"/>
        </w:rPr>
      </w:pPr>
      <w:r>
        <w:rPr>
          <w:rFonts w:hint="eastAsia" w:ascii="宋体" w:hAnsi="宋体" w:eastAsia="宋体"/>
          <w:szCs w:val="21"/>
        </w:rPr>
        <w:t>本协议附件五：运输绩效考核计划</w:t>
      </w:r>
      <w:r>
        <w:rPr>
          <w:rFonts w:ascii="宋体" w:hAnsi="宋体" w:eastAsia="宋体"/>
          <w:szCs w:val="21"/>
        </w:rPr>
        <w:t>_</w:t>
      </w:r>
      <w:r>
        <w:rPr>
          <w:rFonts w:hint="eastAsia" w:ascii="宋体" w:hAnsi="宋体" w:eastAsia="宋体"/>
          <w:szCs w:val="21"/>
        </w:rPr>
        <w:t>多式联运；</w:t>
      </w:r>
    </w:p>
    <w:p w14:paraId="7AD440D5">
      <w:pPr>
        <w:pStyle w:val="4"/>
        <w:numPr>
          <w:ilvl w:val="2"/>
          <w:numId w:val="18"/>
        </w:numPr>
        <w:spacing w:before="120" w:after="120" w:line="288" w:lineRule="auto"/>
        <w:ind w:firstLineChars="0"/>
        <w:jc w:val="left"/>
        <w:rPr>
          <w:rFonts w:ascii="宋体" w:hAnsi="宋体" w:eastAsia="宋体"/>
          <w:szCs w:val="21"/>
        </w:rPr>
      </w:pPr>
      <w:r>
        <w:rPr>
          <w:rFonts w:hint="eastAsia" w:ascii="宋体" w:hAnsi="宋体" w:eastAsia="宋体"/>
          <w:szCs w:val="21"/>
        </w:rPr>
        <w:t>本协议附件六：操作概述；</w:t>
      </w:r>
    </w:p>
    <w:p w14:paraId="704F3CA2">
      <w:pPr>
        <w:pStyle w:val="4"/>
        <w:numPr>
          <w:ilvl w:val="2"/>
          <w:numId w:val="18"/>
        </w:numPr>
        <w:spacing w:before="120" w:after="120" w:line="288" w:lineRule="auto"/>
        <w:ind w:firstLineChars="0"/>
        <w:jc w:val="left"/>
        <w:rPr>
          <w:rFonts w:ascii="宋体" w:hAnsi="宋体" w:eastAsia="宋体"/>
          <w:szCs w:val="21"/>
        </w:rPr>
      </w:pPr>
      <w:r>
        <w:rPr>
          <w:rFonts w:hint="eastAsia" w:ascii="宋体" w:hAnsi="宋体" w:eastAsia="宋体"/>
          <w:szCs w:val="21"/>
        </w:rPr>
        <w:t>附件七 理想业务公路服务商管理要求</w:t>
      </w:r>
      <w:r>
        <w:rPr>
          <w:rFonts w:hint="eastAsia" w:ascii="宋体" w:hAnsi="宋体" w:eastAsia="宋体"/>
          <w:szCs w:val="21"/>
          <w:lang w:eastAsia="zh-CN"/>
        </w:rPr>
        <w:t>；</w:t>
      </w:r>
    </w:p>
    <w:p w14:paraId="13341006">
      <w:pPr>
        <w:pStyle w:val="4"/>
        <w:numPr>
          <w:ilvl w:val="2"/>
          <w:numId w:val="18"/>
        </w:numPr>
        <w:spacing w:before="120" w:after="120" w:line="288" w:lineRule="auto"/>
        <w:ind w:firstLineChars="0"/>
        <w:jc w:val="left"/>
        <w:rPr>
          <w:rFonts w:ascii="宋体" w:hAnsi="宋体" w:eastAsia="宋体"/>
          <w:szCs w:val="21"/>
        </w:rPr>
      </w:pPr>
      <w:r>
        <w:rPr>
          <w:rFonts w:hint="eastAsia" w:ascii="宋体" w:hAnsi="宋体" w:eastAsia="宋体"/>
          <w:szCs w:val="21"/>
        </w:rPr>
        <w:t>本协议附件</w:t>
      </w:r>
      <w:r>
        <w:rPr>
          <w:rFonts w:hint="eastAsia" w:ascii="宋体" w:hAnsi="宋体" w:eastAsia="宋体"/>
          <w:szCs w:val="21"/>
          <w:lang w:val="en-US" w:eastAsia="zh-CN"/>
        </w:rPr>
        <w:t>八</w:t>
      </w:r>
      <w:r>
        <w:rPr>
          <w:rFonts w:hint="eastAsia" w:ascii="宋体" w:hAnsi="宋体" w:eastAsia="宋体"/>
          <w:szCs w:val="21"/>
        </w:rPr>
        <w:t>：</w:t>
      </w:r>
      <w:r>
        <w:rPr>
          <w:rFonts w:hint="eastAsia" w:ascii="宋体" w:hAnsi="宋体" w:eastAsia="宋体"/>
          <w:szCs w:val="21"/>
          <w:lang w:val="en-US" w:eastAsia="zh-CN"/>
        </w:rPr>
        <w:t>后端</w:t>
      </w:r>
      <w:bookmarkStart w:id="1" w:name="_GoBack"/>
      <w:bookmarkEnd w:id="1"/>
      <w:r>
        <w:rPr>
          <w:rFonts w:hint="eastAsia" w:ascii="宋体" w:hAnsi="宋体" w:eastAsia="宋体"/>
          <w:szCs w:val="21"/>
          <w:lang w:val="en-US" w:eastAsia="zh-CN"/>
        </w:rPr>
        <w:t xml:space="preserve">价格；        </w:t>
      </w:r>
    </w:p>
    <w:p w14:paraId="4EBF9656">
      <w:pPr>
        <w:pStyle w:val="4"/>
        <w:numPr>
          <w:ilvl w:val="1"/>
          <w:numId w:val="18"/>
        </w:numPr>
        <w:spacing w:before="120" w:after="120" w:line="288" w:lineRule="auto"/>
        <w:ind w:firstLineChars="0"/>
        <w:jc w:val="left"/>
        <w:rPr>
          <w:rFonts w:ascii="宋体" w:hAnsi="宋体" w:eastAsia="宋体"/>
          <w:szCs w:val="21"/>
        </w:rPr>
      </w:pPr>
      <w:r>
        <w:rPr>
          <w:rFonts w:ascii="宋体" w:hAnsi="宋体" w:eastAsia="宋体" w:cs="Arial"/>
          <w:color w:val="1F2329"/>
          <w:szCs w:val="21"/>
        </w:rPr>
        <w:t>所有</w:t>
      </w:r>
      <w:r>
        <w:rPr>
          <w:rFonts w:hint="eastAsia" w:ascii="宋体" w:hAnsi="宋体" w:eastAsia="宋体" w:cs="Arial"/>
          <w:color w:val="1F2329"/>
          <w:szCs w:val="21"/>
        </w:rPr>
        <w:t>附件</w:t>
      </w:r>
      <w:r>
        <w:rPr>
          <w:rFonts w:ascii="宋体" w:hAnsi="宋体" w:eastAsia="宋体" w:cs="Arial"/>
          <w:color w:val="1F2329"/>
          <w:szCs w:val="21"/>
        </w:rPr>
        <w:t>文件构成</w:t>
      </w:r>
      <w:r>
        <w:rPr>
          <w:rFonts w:hint="eastAsia" w:ascii="宋体" w:hAnsi="宋体" w:eastAsia="宋体" w:cs="Arial"/>
          <w:color w:val="1F2329"/>
          <w:szCs w:val="21"/>
        </w:rPr>
        <w:t>本</w:t>
      </w:r>
      <w:r>
        <w:rPr>
          <w:rFonts w:ascii="宋体" w:hAnsi="宋体" w:eastAsia="宋体" w:cs="Arial"/>
          <w:color w:val="1F2329"/>
          <w:szCs w:val="21"/>
        </w:rPr>
        <w:t>协议必要的组成部分</w:t>
      </w:r>
      <w:r>
        <w:rPr>
          <w:rFonts w:hint="eastAsia" w:ascii="宋体" w:hAnsi="宋体" w:eastAsia="宋体" w:cs="Arial"/>
          <w:color w:val="1F2329"/>
          <w:szCs w:val="21"/>
        </w:rPr>
        <w:t>，与本协议具有同等法律效力</w:t>
      </w:r>
      <w:r>
        <w:rPr>
          <w:rFonts w:ascii="宋体" w:hAnsi="宋体" w:eastAsia="宋体" w:cs="Arial"/>
          <w:color w:val="1F2329"/>
          <w:szCs w:val="21"/>
        </w:rPr>
        <w:t>。</w:t>
      </w:r>
    </w:p>
    <w:p w14:paraId="660D6345">
      <w:pPr>
        <w:pStyle w:val="4"/>
        <w:numPr>
          <w:ilvl w:val="1"/>
          <w:numId w:val="18"/>
        </w:numPr>
        <w:spacing w:before="120" w:after="120" w:line="288" w:lineRule="auto"/>
        <w:ind w:firstLineChars="0"/>
        <w:jc w:val="left"/>
        <w:rPr>
          <w:rFonts w:ascii="宋体" w:hAnsi="宋体" w:eastAsia="宋体"/>
          <w:szCs w:val="21"/>
        </w:rPr>
      </w:pPr>
      <w:r>
        <w:rPr>
          <w:rFonts w:ascii="宋体" w:hAnsi="宋体" w:eastAsia="宋体" w:cs="Arial"/>
          <w:color w:val="1F2329"/>
          <w:szCs w:val="21"/>
        </w:rPr>
        <w:t>除非上下文另有明确规定，</w:t>
      </w:r>
      <w:r>
        <w:rPr>
          <w:rFonts w:hint="eastAsia" w:ascii="宋体" w:hAnsi="宋体" w:eastAsia="宋体" w:cs="Arial"/>
          <w:color w:val="1F2329"/>
          <w:szCs w:val="21"/>
        </w:rPr>
        <w:t>本</w:t>
      </w:r>
      <w:r>
        <w:rPr>
          <w:rFonts w:ascii="宋体" w:hAnsi="宋体" w:eastAsia="宋体" w:cs="Arial"/>
          <w:color w:val="1F2329"/>
          <w:szCs w:val="21"/>
        </w:rPr>
        <w:t>协议和</w:t>
      </w:r>
      <w:r>
        <w:rPr>
          <w:rFonts w:hint="eastAsia" w:ascii="宋体" w:hAnsi="宋体" w:eastAsia="宋体" w:cs="Arial"/>
          <w:color w:val="1F2329"/>
          <w:szCs w:val="21"/>
        </w:rPr>
        <w:t>本协议附件</w:t>
      </w:r>
      <w:r>
        <w:rPr>
          <w:rFonts w:ascii="宋体" w:hAnsi="宋体" w:eastAsia="宋体" w:cs="Arial"/>
          <w:color w:val="1F2329"/>
          <w:szCs w:val="21"/>
        </w:rPr>
        <w:t>中定义的术语具有相同的含义。</w:t>
      </w:r>
    </w:p>
    <w:p w14:paraId="51E06A14">
      <w:pPr>
        <w:spacing w:before="120" w:after="120" w:line="288" w:lineRule="auto"/>
        <w:jc w:val="left"/>
        <w:rPr>
          <w:rFonts w:ascii="宋体" w:hAnsi="宋体" w:eastAsia="宋体"/>
          <w:szCs w:val="21"/>
        </w:rPr>
      </w:pPr>
    </w:p>
    <w:p w14:paraId="3E172F5E">
      <w:pPr>
        <w:pStyle w:val="4"/>
        <w:numPr>
          <w:ilvl w:val="0"/>
          <w:numId w:val="1"/>
        </w:numPr>
        <w:spacing w:before="120" w:after="120" w:line="288" w:lineRule="auto"/>
        <w:ind w:firstLineChars="0"/>
        <w:jc w:val="left"/>
        <w:rPr>
          <w:rFonts w:ascii="宋体" w:hAnsi="宋体" w:eastAsia="宋体"/>
          <w:b/>
          <w:szCs w:val="21"/>
        </w:rPr>
      </w:pPr>
      <w:r>
        <w:rPr>
          <w:rFonts w:ascii="宋体" w:hAnsi="宋体" w:eastAsia="宋体" w:cs="Arial"/>
          <w:b/>
          <w:color w:val="1F2329"/>
          <w:szCs w:val="21"/>
        </w:rPr>
        <w:t>其他规定</w:t>
      </w:r>
    </w:p>
    <w:p w14:paraId="344AE0EC">
      <w:pPr>
        <w:pStyle w:val="4"/>
        <w:numPr>
          <w:ilvl w:val="1"/>
          <w:numId w:val="19"/>
        </w:numPr>
        <w:spacing w:before="120" w:after="120" w:line="288" w:lineRule="auto"/>
        <w:ind w:firstLineChars="0"/>
        <w:jc w:val="left"/>
        <w:rPr>
          <w:rFonts w:ascii="宋体" w:hAnsi="宋体" w:eastAsia="宋体"/>
          <w:szCs w:val="21"/>
        </w:rPr>
      </w:pPr>
      <w:r>
        <w:rPr>
          <w:rFonts w:ascii="宋体" w:hAnsi="宋体" w:eastAsia="宋体" w:cs="Arial"/>
          <w:color w:val="1F2329"/>
          <w:szCs w:val="21"/>
        </w:rPr>
        <w:t>在本合同履行中，若发生争议，双方应先协商解决；协商不成时，任意一方均可向</w:t>
      </w:r>
      <w:r>
        <w:rPr>
          <w:rFonts w:hint="eastAsia" w:ascii="宋体" w:hAnsi="宋体" w:eastAsia="宋体" w:cs="Arial"/>
          <w:color w:val="1F2329"/>
          <w:szCs w:val="21"/>
        </w:rPr>
        <w:t>甲方</w:t>
      </w:r>
      <w:r>
        <w:rPr>
          <w:rFonts w:ascii="宋体" w:hAnsi="宋体" w:eastAsia="宋体" w:cs="Arial"/>
          <w:color w:val="1F2329"/>
          <w:szCs w:val="21"/>
        </w:rPr>
        <w:t>所在地有管辖权的人民法院提起诉讼。</w:t>
      </w:r>
    </w:p>
    <w:p w14:paraId="12364D08">
      <w:pPr>
        <w:pStyle w:val="4"/>
        <w:numPr>
          <w:ilvl w:val="1"/>
          <w:numId w:val="19"/>
        </w:numPr>
        <w:spacing w:before="120" w:after="120" w:line="288" w:lineRule="auto"/>
        <w:ind w:firstLineChars="0"/>
        <w:jc w:val="left"/>
        <w:rPr>
          <w:rFonts w:ascii="宋体" w:hAnsi="宋体" w:eastAsia="宋体"/>
          <w:szCs w:val="21"/>
        </w:rPr>
      </w:pPr>
      <w:r>
        <w:rPr>
          <w:rFonts w:hint="eastAsia" w:ascii="宋体" w:hAnsi="宋体" w:eastAsia="宋体"/>
          <w:szCs w:val="21"/>
        </w:rPr>
        <w:t>本协议自双方加盖印章之日起生效。</w:t>
      </w:r>
    </w:p>
    <w:p w14:paraId="25EDF9F5">
      <w:pPr>
        <w:pStyle w:val="4"/>
        <w:numPr>
          <w:ilvl w:val="1"/>
          <w:numId w:val="19"/>
        </w:numPr>
        <w:spacing w:before="120" w:after="120" w:line="288" w:lineRule="auto"/>
        <w:ind w:firstLineChars="0"/>
        <w:jc w:val="left"/>
        <w:rPr>
          <w:rFonts w:ascii="宋体" w:hAnsi="宋体" w:eastAsia="宋体"/>
          <w:szCs w:val="21"/>
        </w:rPr>
      </w:pPr>
      <w:r>
        <w:rPr>
          <w:rFonts w:ascii="宋体" w:hAnsi="宋体" w:eastAsia="宋体" w:cs="Arial"/>
          <w:color w:val="1F2329"/>
          <w:szCs w:val="21"/>
        </w:rPr>
        <w:t>本协议一式</w:t>
      </w:r>
      <w:r>
        <w:rPr>
          <w:rFonts w:hint="eastAsia" w:ascii="宋体" w:hAnsi="宋体" w:eastAsia="宋体" w:cs="Arial"/>
          <w:color w:val="1F2329"/>
          <w:szCs w:val="21"/>
        </w:rPr>
        <w:t>贰</w:t>
      </w:r>
      <w:r>
        <w:rPr>
          <w:rFonts w:ascii="宋体" w:hAnsi="宋体" w:eastAsia="宋体" w:cs="Arial"/>
          <w:color w:val="1F2329"/>
          <w:szCs w:val="21"/>
        </w:rPr>
        <w:t>（2）份，双方各执</w:t>
      </w:r>
      <w:r>
        <w:rPr>
          <w:rFonts w:hint="eastAsia" w:ascii="宋体" w:hAnsi="宋体" w:eastAsia="宋体" w:cs="Arial"/>
          <w:color w:val="1F2329"/>
          <w:szCs w:val="21"/>
        </w:rPr>
        <w:t>壹</w:t>
      </w:r>
      <w:r>
        <w:rPr>
          <w:rFonts w:ascii="宋体" w:hAnsi="宋体" w:eastAsia="宋体" w:cs="Arial"/>
          <w:color w:val="1F2329"/>
          <w:szCs w:val="21"/>
        </w:rPr>
        <w:t>（1）份，具有同等法律效力。</w:t>
      </w:r>
    </w:p>
    <w:p w14:paraId="4027226F">
      <w:pPr>
        <w:pStyle w:val="4"/>
        <w:numPr>
          <w:ilvl w:val="1"/>
          <w:numId w:val="19"/>
        </w:numPr>
        <w:spacing w:before="120" w:after="120" w:line="288" w:lineRule="auto"/>
        <w:ind w:firstLineChars="0"/>
        <w:jc w:val="left"/>
        <w:rPr>
          <w:rFonts w:ascii="宋体" w:hAnsi="宋体" w:eastAsia="宋体"/>
          <w:szCs w:val="21"/>
        </w:rPr>
      </w:pPr>
      <w:r>
        <w:rPr>
          <w:rFonts w:ascii="宋体" w:hAnsi="宋体" w:eastAsia="宋体" w:cs="Arial"/>
          <w:color w:val="1F2329"/>
          <w:szCs w:val="21"/>
        </w:rPr>
        <w:t>本协议未尽之事宜，双方本着友好协商原则，制定补充协议。该补充协议与本协议具有同等法律效力。</w:t>
      </w:r>
    </w:p>
    <w:p w14:paraId="728B15D9">
      <w:pPr>
        <w:spacing w:before="120" w:after="120" w:line="288" w:lineRule="auto"/>
        <w:jc w:val="left"/>
        <w:rPr>
          <w:rFonts w:ascii="宋体" w:hAnsi="宋体" w:eastAsia="宋体"/>
          <w:szCs w:val="21"/>
        </w:rPr>
      </w:pPr>
    </w:p>
    <w:p w14:paraId="5B172773">
      <w:pPr>
        <w:spacing w:before="120" w:after="120" w:line="288" w:lineRule="auto"/>
        <w:jc w:val="left"/>
        <w:rPr>
          <w:rFonts w:ascii="宋体" w:hAnsi="宋体" w:eastAsia="宋体"/>
          <w:szCs w:val="21"/>
        </w:rPr>
      </w:pPr>
    </w:p>
    <w:p w14:paraId="690F3135">
      <w:pPr>
        <w:spacing w:before="120" w:after="120" w:line="288" w:lineRule="auto"/>
        <w:jc w:val="center"/>
        <w:rPr>
          <w:rFonts w:ascii="宋体" w:hAnsi="宋体" w:eastAsia="宋体"/>
          <w:szCs w:val="21"/>
        </w:rPr>
      </w:pPr>
      <w:r>
        <w:rPr>
          <w:rFonts w:ascii="宋体" w:hAnsi="宋体" w:eastAsia="宋体" w:cs="Arial"/>
          <w:color w:val="1F2329"/>
          <w:szCs w:val="21"/>
        </w:rPr>
        <w:t>（以下无正文）</w:t>
      </w:r>
    </w:p>
    <w:p w14:paraId="0EB46601">
      <w:pPr>
        <w:spacing w:before="120" w:after="120" w:line="288" w:lineRule="auto"/>
        <w:jc w:val="left"/>
        <w:rPr>
          <w:rFonts w:ascii="宋体" w:hAnsi="宋体" w:eastAsia="宋体"/>
          <w:szCs w:val="21"/>
        </w:rPr>
      </w:pPr>
    </w:p>
    <w:tbl>
      <w:tblPr>
        <w:tblStyle w:val="2"/>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4140"/>
        <w:gridCol w:w="4140"/>
      </w:tblGrid>
      <w:tr w14:paraId="3DEE4B6A">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4140" w:type="dxa"/>
            <w:tcMar>
              <w:top w:w="60" w:type="dxa"/>
              <w:left w:w="120" w:type="dxa"/>
              <w:bottom w:w="30" w:type="dxa"/>
              <w:right w:w="120" w:type="dxa"/>
            </w:tcMar>
          </w:tcPr>
          <w:p w14:paraId="6AA97A8A">
            <w:pPr>
              <w:spacing w:before="120" w:after="120" w:line="288" w:lineRule="auto"/>
              <w:jc w:val="left"/>
              <w:rPr>
                <w:rFonts w:ascii="宋体" w:hAnsi="宋体" w:eastAsia="宋体"/>
                <w:szCs w:val="21"/>
              </w:rPr>
            </w:pPr>
            <w:r>
              <w:rPr>
                <w:rFonts w:hint="eastAsia" w:ascii="宋体" w:hAnsi="宋体" w:eastAsia="宋体" w:cs="Arial"/>
                <w:color w:val="1F2329"/>
                <w:szCs w:val="21"/>
              </w:rPr>
              <w:t>甲方</w:t>
            </w:r>
            <w:r>
              <w:rPr>
                <w:rFonts w:ascii="宋体" w:hAnsi="宋体" w:eastAsia="宋体" w:cs="Arial"/>
                <w:color w:val="1F2329"/>
                <w:szCs w:val="21"/>
              </w:rPr>
              <w:t xml:space="preserve">（盖章）： </w:t>
            </w:r>
          </w:p>
        </w:tc>
        <w:tc>
          <w:tcPr>
            <w:tcW w:w="4140" w:type="dxa"/>
            <w:tcMar>
              <w:top w:w="60" w:type="dxa"/>
              <w:left w:w="120" w:type="dxa"/>
              <w:bottom w:w="30" w:type="dxa"/>
              <w:right w:w="120" w:type="dxa"/>
            </w:tcMar>
          </w:tcPr>
          <w:p w14:paraId="4DECCFBC">
            <w:pPr>
              <w:spacing w:before="120" w:after="120" w:line="288" w:lineRule="auto"/>
              <w:jc w:val="left"/>
              <w:rPr>
                <w:rFonts w:ascii="宋体" w:hAnsi="宋体" w:eastAsia="宋体"/>
                <w:szCs w:val="21"/>
              </w:rPr>
            </w:pPr>
            <w:r>
              <w:rPr>
                <w:rFonts w:hint="eastAsia" w:ascii="宋体" w:hAnsi="宋体" w:eastAsia="宋体" w:cs="Arial"/>
                <w:color w:val="1F2329"/>
                <w:szCs w:val="21"/>
              </w:rPr>
              <w:t>乙方</w:t>
            </w:r>
            <w:r>
              <w:rPr>
                <w:rFonts w:ascii="宋体" w:hAnsi="宋体" w:eastAsia="宋体" w:cs="Arial"/>
                <w:color w:val="1F2329"/>
                <w:szCs w:val="21"/>
              </w:rPr>
              <w:t xml:space="preserve">（盖章）： </w:t>
            </w:r>
          </w:p>
        </w:tc>
      </w:tr>
      <w:tr w14:paraId="40035349">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PrEx>
        <w:tc>
          <w:tcPr>
            <w:tcW w:w="4140" w:type="dxa"/>
            <w:tcMar>
              <w:top w:w="60" w:type="dxa"/>
              <w:left w:w="120" w:type="dxa"/>
              <w:bottom w:w="30" w:type="dxa"/>
              <w:right w:w="120" w:type="dxa"/>
            </w:tcMar>
          </w:tcPr>
          <w:p w14:paraId="6038CA14">
            <w:pPr>
              <w:spacing w:before="120" w:after="120" w:line="288" w:lineRule="auto"/>
              <w:jc w:val="left"/>
              <w:rPr>
                <w:rFonts w:ascii="宋体" w:hAnsi="宋体" w:eastAsia="宋体"/>
                <w:szCs w:val="21"/>
              </w:rPr>
            </w:pPr>
            <w:r>
              <w:rPr>
                <w:rFonts w:ascii="宋体" w:hAnsi="宋体" w:eastAsia="宋体" w:cs="Arial"/>
                <w:color w:val="1F2329"/>
                <w:szCs w:val="21"/>
              </w:rPr>
              <w:t>公司授权代表（签名）:</w:t>
            </w:r>
          </w:p>
        </w:tc>
        <w:tc>
          <w:tcPr>
            <w:tcW w:w="4140" w:type="dxa"/>
            <w:tcMar>
              <w:top w:w="60" w:type="dxa"/>
              <w:left w:w="120" w:type="dxa"/>
              <w:bottom w:w="30" w:type="dxa"/>
              <w:right w:w="120" w:type="dxa"/>
            </w:tcMar>
          </w:tcPr>
          <w:p w14:paraId="27D4B593">
            <w:pPr>
              <w:spacing w:before="120" w:after="120" w:line="288" w:lineRule="auto"/>
              <w:jc w:val="left"/>
              <w:rPr>
                <w:rFonts w:ascii="宋体" w:hAnsi="宋体" w:eastAsia="宋体"/>
                <w:szCs w:val="21"/>
              </w:rPr>
            </w:pPr>
            <w:r>
              <w:rPr>
                <w:rFonts w:ascii="宋体" w:hAnsi="宋体" w:eastAsia="宋体" w:cs="Arial"/>
                <w:color w:val="1F2329"/>
                <w:szCs w:val="21"/>
              </w:rPr>
              <w:t xml:space="preserve">公司授权代表（签名）: </w:t>
            </w:r>
          </w:p>
        </w:tc>
      </w:tr>
    </w:tbl>
    <w:p w14:paraId="1730B43E">
      <w:pPr>
        <w:spacing w:before="120" w:after="120" w:line="288" w:lineRule="auto"/>
        <w:jc w:val="left"/>
        <w:rPr>
          <w:rFonts w:ascii="宋体" w:hAnsi="宋体" w:eastAsia="宋体"/>
          <w:szCs w:val="21"/>
        </w:rPr>
      </w:pPr>
    </w:p>
    <w:p w14:paraId="021C8A41">
      <w:pPr>
        <w:spacing w:before="120" w:after="120" w:line="288" w:lineRule="auto"/>
        <w:jc w:val="left"/>
        <w:rPr>
          <w:rFonts w:ascii="宋体" w:hAnsi="宋体" w:eastAsia="宋体"/>
          <w:szCs w:val="21"/>
        </w:rPr>
      </w:pPr>
      <w:r>
        <w:rPr>
          <w:rFonts w:ascii="宋体" w:hAnsi="宋体" w:eastAsia="宋体" w:cs="Arial"/>
          <w:color w:val="1F2329"/>
          <w:szCs w:val="21"/>
        </w:rPr>
        <w:t>签订时间</w:t>
      </w:r>
      <w:r>
        <w:rPr>
          <w:rFonts w:hint="eastAsia" w:ascii="宋体" w:hAnsi="宋体" w:eastAsia="宋体" w:cs="Arial"/>
          <w:color w:val="1F2329"/>
          <w:szCs w:val="21"/>
        </w:rPr>
        <w:t xml:space="preserve">：【 </w:t>
      </w:r>
      <w:r>
        <w:rPr>
          <w:rFonts w:ascii="宋体" w:hAnsi="宋体" w:eastAsia="宋体" w:cs="Arial"/>
          <w:color w:val="1F2329"/>
          <w:szCs w:val="21"/>
        </w:rPr>
        <w:t xml:space="preserve">   </w:t>
      </w:r>
      <w:r>
        <w:rPr>
          <w:rFonts w:hint="eastAsia" w:ascii="宋体" w:hAnsi="宋体" w:eastAsia="宋体" w:cs="Arial"/>
          <w:color w:val="1F2329"/>
          <w:szCs w:val="21"/>
        </w:rPr>
        <w:t xml:space="preserve">】年【 </w:t>
      </w:r>
      <w:r>
        <w:rPr>
          <w:rFonts w:ascii="宋体" w:hAnsi="宋体" w:eastAsia="宋体" w:cs="Arial"/>
          <w:color w:val="1F2329"/>
          <w:szCs w:val="21"/>
        </w:rPr>
        <w:t xml:space="preserve">   </w:t>
      </w:r>
      <w:r>
        <w:rPr>
          <w:rFonts w:hint="eastAsia" w:ascii="宋体" w:hAnsi="宋体" w:eastAsia="宋体" w:cs="Arial"/>
          <w:color w:val="1F2329"/>
          <w:szCs w:val="21"/>
        </w:rPr>
        <w:t xml:space="preserve">】月【 </w:t>
      </w:r>
      <w:r>
        <w:rPr>
          <w:rFonts w:ascii="宋体" w:hAnsi="宋体" w:eastAsia="宋体" w:cs="Arial"/>
          <w:color w:val="1F2329"/>
          <w:szCs w:val="21"/>
        </w:rPr>
        <w:t xml:space="preserve">   </w:t>
      </w:r>
      <w:r>
        <w:rPr>
          <w:rFonts w:hint="eastAsia" w:ascii="宋体" w:hAnsi="宋体" w:eastAsia="宋体" w:cs="Arial"/>
          <w:color w:val="1F2329"/>
          <w:szCs w:val="21"/>
        </w:rPr>
        <w:t>】日</w:t>
      </w:r>
      <w:r>
        <w:rPr>
          <w:rFonts w:ascii="宋体" w:hAnsi="宋体" w:eastAsia="宋体" w:cs="Arial"/>
          <w:color w:val="1F2329"/>
          <w:szCs w:val="21"/>
        </w:rPr>
        <w:t xml:space="preserve">      </w:t>
      </w:r>
    </w:p>
    <w:p w14:paraId="10175E45">
      <w:pPr>
        <w:spacing w:before="120" w:after="120" w:line="288" w:lineRule="auto"/>
        <w:jc w:val="left"/>
        <w:rPr>
          <w:rFonts w:ascii="宋体" w:hAnsi="宋体" w:eastAsia="宋体"/>
          <w:szCs w:val="21"/>
        </w:rPr>
      </w:pPr>
      <w:r>
        <w:rPr>
          <w:rFonts w:ascii="宋体" w:hAnsi="宋体" w:eastAsia="宋体" w:cs="Arial"/>
          <w:color w:val="1F2329"/>
          <w:szCs w:val="21"/>
        </w:rPr>
        <w:t>签订地点</w:t>
      </w:r>
      <w:r>
        <w:rPr>
          <w:rFonts w:hint="eastAsia" w:ascii="宋体" w:hAnsi="宋体" w:eastAsia="宋体" w:cs="Arial"/>
          <w:color w:val="1F2329"/>
          <w:szCs w:val="21"/>
        </w:rPr>
        <w:t>：</w:t>
      </w:r>
      <w:r>
        <w:rPr>
          <w:rFonts w:hint="eastAsia" w:ascii="宋体" w:hAnsi="宋体" w:eastAsia="宋体" w:cs="Arial"/>
          <w:color w:val="1F2329"/>
          <w:szCs w:val="21"/>
          <w:lang w:val="en-US" w:eastAsia="zh-CN"/>
        </w:rPr>
        <w:t>上海</w:t>
      </w:r>
      <w:r>
        <w:rPr>
          <w:rFonts w:hint="eastAsia" w:ascii="宋体" w:hAnsi="宋体" w:eastAsia="宋体" w:cs="Arial"/>
          <w:color w:val="1F2329"/>
          <w:szCs w:val="21"/>
        </w:rPr>
        <w:t>市</w:t>
      </w:r>
      <w:r>
        <w:rPr>
          <w:rFonts w:hint="eastAsia" w:ascii="宋体" w:hAnsi="宋体" w:eastAsia="宋体" w:cs="Arial"/>
          <w:color w:val="1F2329"/>
          <w:szCs w:val="21"/>
          <w:lang w:val="en-US" w:eastAsia="zh-CN"/>
        </w:rPr>
        <w:t>杨浦</w:t>
      </w:r>
      <w:r>
        <w:rPr>
          <w:rFonts w:hint="eastAsia" w:ascii="宋体" w:hAnsi="宋体" w:eastAsia="宋体" w:cs="Arial"/>
          <w:color w:val="1F2329"/>
          <w:szCs w:val="21"/>
        </w:rPr>
        <w:t>区</w:t>
      </w:r>
      <w:r>
        <w:rPr>
          <w:rFonts w:ascii="宋体" w:hAnsi="宋体" w:eastAsia="宋体" w:cs="Arial"/>
          <w:color w:val="1F2329"/>
          <w:szCs w:val="21"/>
        </w:rPr>
        <w:t xml:space="preserve">         </w:t>
      </w:r>
    </w:p>
    <w:p w14:paraId="4B4D1D4C"/>
    <w:sectPr>
      <w:pgSz w:w="11905"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03C3"/>
    <w:multiLevelType w:val="multilevel"/>
    <w:tmpl w:val="008B03C3"/>
    <w:lvl w:ilvl="0" w:tentative="0">
      <w:start w:val="10"/>
      <w:numFmt w:val="decimal"/>
      <w:lvlText w:val="%1"/>
      <w:lvlJc w:val="left"/>
      <w:pPr>
        <w:ind w:left="430" w:hanging="430"/>
      </w:pPr>
      <w:rPr>
        <w:rFonts w:hint="default" w:cs="Arial"/>
        <w:color w:val="1F2329"/>
      </w:rPr>
    </w:lvl>
    <w:lvl w:ilvl="1" w:tentative="0">
      <w:start w:val="1"/>
      <w:numFmt w:val="decimal"/>
      <w:lvlText w:val="9.%2"/>
      <w:lvlJc w:val="left"/>
      <w:pPr>
        <w:ind w:left="430" w:hanging="430"/>
      </w:pPr>
      <w:rPr>
        <w:rFonts w:hint="default" w:cs="Arial"/>
        <w:color w:val="1F2329"/>
      </w:rPr>
    </w:lvl>
    <w:lvl w:ilvl="2" w:tentative="0">
      <w:start w:val="1"/>
      <w:numFmt w:val="decimal"/>
      <w:lvlText w:val="%1.%2.%3"/>
      <w:lvlJc w:val="left"/>
      <w:pPr>
        <w:ind w:left="720" w:hanging="720"/>
      </w:pPr>
      <w:rPr>
        <w:rFonts w:hint="default" w:cs="Arial"/>
        <w:color w:val="1F2329"/>
      </w:rPr>
    </w:lvl>
    <w:lvl w:ilvl="3" w:tentative="0">
      <w:start w:val="1"/>
      <w:numFmt w:val="decimal"/>
      <w:lvlText w:val="%1.%2.%3.%4"/>
      <w:lvlJc w:val="left"/>
      <w:pPr>
        <w:ind w:left="1080" w:hanging="1080"/>
      </w:pPr>
      <w:rPr>
        <w:rFonts w:hint="default" w:cs="Arial"/>
        <w:color w:val="1F2329"/>
      </w:rPr>
    </w:lvl>
    <w:lvl w:ilvl="4" w:tentative="0">
      <w:start w:val="1"/>
      <w:numFmt w:val="decimal"/>
      <w:lvlText w:val="%1.%2.%3.%4.%5"/>
      <w:lvlJc w:val="left"/>
      <w:pPr>
        <w:ind w:left="1080" w:hanging="1080"/>
      </w:pPr>
      <w:rPr>
        <w:rFonts w:hint="default" w:cs="Arial"/>
        <w:color w:val="1F2329"/>
      </w:rPr>
    </w:lvl>
    <w:lvl w:ilvl="5" w:tentative="0">
      <w:start w:val="1"/>
      <w:numFmt w:val="decimal"/>
      <w:lvlText w:val="%1.%2.%3.%4.%5.%6"/>
      <w:lvlJc w:val="left"/>
      <w:pPr>
        <w:ind w:left="1440" w:hanging="1440"/>
      </w:pPr>
      <w:rPr>
        <w:rFonts w:hint="default" w:cs="Arial"/>
        <w:color w:val="1F2329"/>
      </w:rPr>
    </w:lvl>
    <w:lvl w:ilvl="6" w:tentative="0">
      <w:start w:val="1"/>
      <w:numFmt w:val="decimal"/>
      <w:lvlText w:val="%1.%2.%3.%4.%5.%6.%7"/>
      <w:lvlJc w:val="left"/>
      <w:pPr>
        <w:ind w:left="1440" w:hanging="1440"/>
      </w:pPr>
      <w:rPr>
        <w:rFonts w:hint="default" w:cs="Arial"/>
        <w:color w:val="1F2329"/>
      </w:rPr>
    </w:lvl>
    <w:lvl w:ilvl="7" w:tentative="0">
      <w:start w:val="1"/>
      <w:numFmt w:val="decimal"/>
      <w:lvlText w:val="%1.%2.%3.%4.%5.%6.%7.%8"/>
      <w:lvlJc w:val="left"/>
      <w:pPr>
        <w:ind w:left="1800" w:hanging="1800"/>
      </w:pPr>
      <w:rPr>
        <w:rFonts w:hint="default" w:cs="Arial"/>
        <w:color w:val="1F2329"/>
      </w:rPr>
    </w:lvl>
    <w:lvl w:ilvl="8" w:tentative="0">
      <w:start w:val="1"/>
      <w:numFmt w:val="decimal"/>
      <w:lvlText w:val="%1.%2.%3.%4.%5.%6.%7.%8.%9"/>
      <w:lvlJc w:val="left"/>
      <w:pPr>
        <w:ind w:left="1800" w:hanging="1800"/>
      </w:pPr>
      <w:rPr>
        <w:rFonts w:hint="default" w:cs="Arial"/>
        <w:color w:val="1F2329"/>
      </w:rPr>
    </w:lvl>
  </w:abstractNum>
  <w:abstractNum w:abstractNumId="1">
    <w:nsid w:val="1D771D26"/>
    <w:multiLevelType w:val="multilevel"/>
    <w:tmpl w:val="1D771D26"/>
    <w:lvl w:ilvl="0" w:tentative="0">
      <w:start w:val="17"/>
      <w:numFmt w:val="decimal"/>
      <w:lvlText w:val="%1"/>
      <w:lvlJc w:val="left"/>
      <w:pPr>
        <w:ind w:left="440" w:hanging="440"/>
      </w:pPr>
      <w:rPr>
        <w:rFonts w:hint="default" w:cs="Arial"/>
        <w:color w:val="1F2329"/>
      </w:rPr>
    </w:lvl>
    <w:lvl w:ilvl="1" w:tentative="0">
      <w:start w:val="1"/>
      <w:numFmt w:val="decimal"/>
      <w:lvlText w:val="16.%2"/>
      <w:lvlJc w:val="left"/>
      <w:pPr>
        <w:ind w:left="440" w:hanging="440"/>
      </w:pPr>
      <w:rPr>
        <w:rFonts w:hint="default" w:cs="Arial"/>
        <w:color w:val="1F2329"/>
      </w:rPr>
    </w:lvl>
    <w:lvl w:ilvl="2" w:tentative="0">
      <w:start w:val="1"/>
      <w:numFmt w:val="decimal"/>
      <w:lvlText w:val="%1.%2.%3"/>
      <w:lvlJc w:val="left"/>
      <w:pPr>
        <w:ind w:left="720" w:hanging="720"/>
      </w:pPr>
      <w:rPr>
        <w:rFonts w:hint="default" w:cs="Arial"/>
        <w:color w:val="1F2329"/>
      </w:rPr>
    </w:lvl>
    <w:lvl w:ilvl="3" w:tentative="0">
      <w:start w:val="1"/>
      <w:numFmt w:val="decimal"/>
      <w:lvlText w:val="%1.%2.%3.%4"/>
      <w:lvlJc w:val="left"/>
      <w:pPr>
        <w:ind w:left="1080" w:hanging="1080"/>
      </w:pPr>
      <w:rPr>
        <w:rFonts w:hint="default" w:cs="Arial"/>
        <w:color w:val="1F2329"/>
      </w:rPr>
    </w:lvl>
    <w:lvl w:ilvl="4" w:tentative="0">
      <w:start w:val="1"/>
      <w:numFmt w:val="decimal"/>
      <w:lvlText w:val="%1.%2.%3.%4.%5"/>
      <w:lvlJc w:val="left"/>
      <w:pPr>
        <w:ind w:left="1080" w:hanging="1080"/>
      </w:pPr>
      <w:rPr>
        <w:rFonts w:hint="default" w:cs="Arial"/>
        <w:color w:val="1F2329"/>
      </w:rPr>
    </w:lvl>
    <w:lvl w:ilvl="5" w:tentative="0">
      <w:start w:val="1"/>
      <w:numFmt w:val="decimal"/>
      <w:lvlText w:val="%1.%2.%3.%4.%5.%6"/>
      <w:lvlJc w:val="left"/>
      <w:pPr>
        <w:ind w:left="1440" w:hanging="1440"/>
      </w:pPr>
      <w:rPr>
        <w:rFonts w:hint="default" w:cs="Arial"/>
        <w:color w:val="1F2329"/>
      </w:rPr>
    </w:lvl>
    <w:lvl w:ilvl="6" w:tentative="0">
      <w:start w:val="1"/>
      <w:numFmt w:val="decimal"/>
      <w:lvlText w:val="%1.%2.%3.%4.%5.%6.%7"/>
      <w:lvlJc w:val="left"/>
      <w:pPr>
        <w:ind w:left="1440" w:hanging="1440"/>
      </w:pPr>
      <w:rPr>
        <w:rFonts w:hint="default" w:cs="Arial"/>
        <w:color w:val="1F2329"/>
      </w:rPr>
    </w:lvl>
    <w:lvl w:ilvl="7" w:tentative="0">
      <w:start w:val="1"/>
      <w:numFmt w:val="decimal"/>
      <w:lvlText w:val="%1.%2.%3.%4.%5.%6.%7.%8"/>
      <w:lvlJc w:val="left"/>
      <w:pPr>
        <w:ind w:left="1800" w:hanging="1800"/>
      </w:pPr>
      <w:rPr>
        <w:rFonts w:hint="default" w:cs="Arial"/>
        <w:color w:val="1F2329"/>
      </w:rPr>
    </w:lvl>
    <w:lvl w:ilvl="8" w:tentative="0">
      <w:start w:val="1"/>
      <w:numFmt w:val="decimal"/>
      <w:lvlText w:val="%1.%2.%3.%4.%5.%6.%7.%8.%9"/>
      <w:lvlJc w:val="left"/>
      <w:pPr>
        <w:ind w:left="1800" w:hanging="1800"/>
      </w:pPr>
      <w:rPr>
        <w:rFonts w:hint="default" w:cs="Arial"/>
        <w:color w:val="1F2329"/>
      </w:rPr>
    </w:lvl>
  </w:abstractNum>
  <w:abstractNum w:abstractNumId="2">
    <w:nsid w:val="2032553C"/>
    <w:multiLevelType w:val="multilevel"/>
    <w:tmpl w:val="2032553C"/>
    <w:lvl w:ilvl="0" w:tentative="0">
      <w:start w:val="18"/>
      <w:numFmt w:val="decimal"/>
      <w:lvlText w:val="%1"/>
      <w:lvlJc w:val="left"/>
      <w:pPr>
        <w:ind w:left="440" w:hanging="440"/>
      </w:pPr>
      <w:rPr>
        <w:rFonts w:hint="default" w:cs="Arial"/>
        <w:color w:val="1F2329"/>
      </w:rPr>
    </w:lvl>
    <w:lvl w:ilvl="1" w:tentative="0">
      <w:start w:val="1"/>
      <w:numFmt w:val="decimal"/>
      <w:lvlText w:val="17.%2"/>
      <w:lvlJc w:val="left"/>
      <w:pPr>
        <w:ind w:left="440" w:hanging="440"/>
      </w:pPr>
      <w:rPr>
        <w:rFonts w:hint="default" w:cs="Arial"/>
        <w:color w:val="1F2329"/>
      </w:rPr>
    </w:lvl>
    <w:lvl w:ilvl="2" w:tentative="0">
      <w:start w:val="1"/>
      <w:numFmt w:val="decimal"/>
      <w:lvlText w:val="17.%2.%3"/>
      <w:lvlJc w:val="left"/>
      <w:pPr>
        <w:ind w:left="720" w:hanging="720"/>
      </w:pPr>
      <w:rPr>
        <w:rFonts w:hint="default" w:cs="Arial"/>
        <w:color w:val="1F2329"/>
      </w:rPr>
    </w:lvl>
    <w:lvl w:ilvl="3" w:tentative="0">
      <w:start w:val="1"/>
      <w:numFmt w:val="decimal"/>
      <w:lvlText w:val="%1.%2.%3.%4"/>
      <w:lvlJc w:val="left"/>
      <w:pPr>
        <w:ind w:left="1080" w:hanging="1080"/>
      </w:pPr>
      <w:rPr>
        <w:rFonts w:hint="default" w:cs="Arial"/>
        <w:color w:val="1F2329"/>
      </w:rPr>
    </w:lvl>
    <w:lvl w:ilvl="4" w:tentative="0">
      <w:start w:val="1"/>
      <w:numFmt w:val="decimal"/>
      <w:lvlText w:val="%1.%2.%3.%4.%5"/>
      <w:lvlJc w:val="left"/>
      <w:pPr>
        <w:ind w:left="1080" w:hanging="1080"/>
      </w:pPr>
      <w:rPr>
        <w:rFonts w:hint="default" w:cs="Arial"/>
        <w:color w:val="1F2329"/>
      </w:rPr>
    </w:lvl>
    <w:lvl w:ilvl="5" w:tentative="0">
      <w:start w:val="1"/>
      <w:numFmt w:val="decimal"/>
      <w:lvlText w:val="%1.%2.%3.%4.%5.%6"/>
      <w:lvlJc w:val="left"/>
      <w:pPr>
        <w:ind w:left="1440" w:hanging="1440"/>
      </w:pPr>
      <w:rPr>
        <w:rFonts w:hint="default" w:cs="Arial"/>
        <w:color w:val="1F2329"/>
      </w:rPr>
    </w:lvl>
    <w:lvl w:ilvl="6" w:tentative="0">
      <w:start w:val="1"/>
      <w:numFmt w:val="decimal"/>
      <w:lvlText w:val="%1.%2.%3.%4.%5.%6.%7"/>
      <w:lvlJc w:val="left"/>
      <w:pPr>
        <w:ind w:left="1440" w:hanging="1440"/>
      </w:pPr>
      <w:rPr>
        <w:rFonts w:hint="default" w:cs="Arial"/>
        <w:color w:val="1F2329"/>
      </w:rPr>
    </w:lvl>
    <w:lvl w:ilvl="7" w:tentative="0">
      <w:start w:val="1"/>
      <w:numFmt w:val="decimal"/>
      <w:lvlText w:val="%1.%2.%3.%4.%5.%6.%7.%8"/>
      <w:lvlJc w:val="left"/>
      <w:pPr>
        <w:ind w:left="1800" w:hanging="1800"/>
      </w:pPr>
      <w:rPr>
        <w:rFonts w:hint="default" w:cs="Arial"/>
        <w:color w:val="1F2329"/>
      </w:rPr>
    </w:lvl>
    <w:lvl w:ilvl="8" w:tentative="0">
      <w:start w:val="1"/>
      <w:numFmt w:val="decimal"/>
      <w:lvlText w:val="%1.%2.%3.%4.%5.%6.%7.%8.%9"/>
      <w:lvlJc w:val="left"/>
      <w:pPr>
        <w:ind w:left="1800" w:hanging="1800"/>
      </w:pPr>
      <w:rPr>
        <w:rFonts w:hint="default" w:cs="Arial"/>
        <w:color w:val="1F2329"/>
      </w:rPr>
    </w:lvl>
  </w:abstractNum>
  <w:abstractNum w:abstractNumId="3">
    <w:nsid w:val="212A069D"/>
    <w:multiLevelType w:val="multilevel"/>
    <w:tmpl w:val="212A069D"/>
    <w:lvl w:ilvl="0" w:tentative="0">
      <w:start w:val="19"/>
      <w:numFmt w:val="decimal"/>
      <w:lvlText w:val="%1"/>
      <w:lvlJc w:val="left"/>
      <w:pPr>
        <w:ind w:left="440" w:hanging="440"/>
      </w:pPr>
      <w:rPr>
        <w:rFonts w:hint="default" w:cs="Arial"/>
        <w:color w:val="1F2329"/>
      </w:rPr>
    </w:lvl>
    <w:lvl w:ilvl="1" w:tentative="0">
      <w:start w:val="1"/>
      <w:numFmt w:val="decimal"/>
      <w:lvlText w:val="18.%2"/>
      <w:lvlJc w:val="left"/>
      <w:pPr>
        <w:ind w:left="440" w:hanging="440"/>
      </w:pPr>
      <w:rPr>
        <w:rFonts w:hint="default" w:cs="Arial"/>
        <w:color w:val="1F2329"/>
      </w:rPr>
    </w:lvl>
    <w:lvl w:ilvl="2" w:tentative="0">
      <w:start w:val="1"/>
      <w:numFmt w:val="decimal"/>
      <w:lvlText w:val="%1.%2.%3"/>
      <w:lvlJc w:val="left"/>
      <w:pPr>
        <w:ind w:left="720" w:hanging="720"/>
      </w:pPr>
      <w:rPr>
        <w:rFonts w:hint="default" w:cs="Arial"/>
        <w:color w:val="1F2329"/>
      </w:rPr>
    </w:lvl>
    <w:lvl w:ilvl="3" w:tentative="0">
      <w:start w:val="1"/>
      <w:numFmt w:val="decimal"/>
      <w:lvlText w:val="%1.%2.%3.%4"/>
      <w:lvlJc w:val="left"/>
      <w:pPr>
        <w:ind w:left="1080" w:hanging="1080"/>
      </w:pPr>
      <w:rPr>
        <w:rFonts w:hint="default" w:cs="Arial"/>
        <w:color w:val="1F2329"/>
      </w:rPr>
    </w:lvl>
    <w:lvl w:ilvl="4" w:tentative="0">
      <w:start w:val="1"/>
      <w:numFmt w:val="decimal"/>
      <w:lvlText w:val="%1.%2.%3.%4.%5"/>
      <w:lvlJc w:val="left"/>
      <w:pPr>
        <w:ind w:left="1080" w:hanging="1080"/>
      </w:pPr>
      <w:rPr>
        <w:rFonts w:hint="default" w:cs="Arial"/>
        <w:color w:val="1F2329"/>
      </w:rPr>
    </w:lvl>
    <w:lvl w:ilvl="5" w:tentative="0">
      <w:start w:val="1"/>
      <w:numFmt w:val="decimal"/>
      <w:lvlText w:val="%1.%2.%3.%4.%5.%6"/>
      <w:lvlJc w:val="left"/>
      <w:pPr>
        <w:ind w:left="1440" w:hanging="1440"/>
      </w:pPr>
      <w:rPr>
        <w:rFonts w:hint="default" w:cs="Arial"/>
        <w:color w:val="1F2329"/>
      </w:rPr>
    </w:lvl>
    <w:lvl w:ilvl="6" w:tentative="0">
      <w:start w:val="1"/>
      <w:numFmt w:val="decimal"/>
      <w:lvlText w:val="%1.%2.%3.%4.%5.%6.%7"/>
      <w:lvlJc w:val="left"/>
      <w:pPr>
        <w:ind w:left="1440" w:hanging="1440"/>
      </w:pPr>
      <w:rPr>
        <w:rFonts w:hint="default" w:cs="Arial"/>
        <w:color w:val="1F2329"/>
      </w:rPr>
    </w:lvl>
    <w:lvl w:ilvl="7" w:tentative="0">
      <w:start w:val="1"/>
      <w:numFmt w:val="decimal"/>
      <w:lvlText w:val="%1.%2.%3.%4.%5.%6.%7.%8"/>
      <w:lvlJc w:val="left"/>
      <w:pPr>
        <w:ind w:left="1800" w:hanging="1800"/>
      </w:pPr>
      <w:rPr>
        <w:rFonts w:hint="default" w:cs="Arial"/>
        <w:color w:val="1F2329"/>
      </w:rPr>
    </w:lvl>
    <w:lvl w:ilvl="8" w:tentative="0">
      <w:start w:val="1"/>
      <w:numFmt w:val="decimal"/>
      <w:lvlText w:val="%1.%2.%3.%4.%5.%6.%7.%8.%9"/>
      <w:lvlJc w:val="left"/>
      <w:pPr>
        <w:ind w:left="1800" w:hanging="1800"/>
      </w:pPr>
      <w:rPr>
        <w:rFonts w:hint="default" w:cs="Arial"/>
        <w:color w:val="1F2329"/>
      </w:rPr>
    </w:lvl>
  </w:abstractNum>
  <w:abstractNum w:abstractNumId="4">
    <w:nsid w:val="25E75A24"/>
    <w:multiLevelType w:val="multilevel"/>
    <w:tmpl w:val="25E75A24"/>
    <w:lvl w:ilvl="0" w:tentative="0">
      <w:start w:val="1"/>
      <w:numFmt w:val="decimal"/>
      <w:lvlText w:val="%1"/>
      <w:lvlJc w:val="left"/>
      <w:pPr>
        <w:ind w:left="360" w:hanging="360"/>
      </w:pPr>
      <w:rPr>
        <w:rFonts w:hint="default" w:cs="Arial"/>
        <w:color w:val="1F2329"/>
      </w:rPr>
    </w:lvl>
    <w:lvl w:ilvl="1" w:tentative="0">
      <w:start w:val="1"/>
      <w:numFmt w:val="decimal"/>
      <w:suff w:val="space"/>
      <w:lvlText w:val="%1.%2"/>
      <w:lvlJc w:val="left"/>
      <w:pPr>
        <w:ind w:left="360" w:hanging="360"/>
      </w:pPr>
      <w:rPr>
        <w:rFonts w:hint="default" w:cs="Arial"/>
        <w:color w:val="1F2329"/>
      </w:rPr>
    </w:lvl>
    <w:lvl w:ilvl="2" w:tentative="0">
      <w:start w:val="1"/>
      <w:numFmt w:val="decimal"/>
      <w:lvlText w:val="%1.%2.%3"/>
      <w:lvlJc w:val="left"/>
      <w:pPr>
        <w:ind w:left="720" w:hanging="720"/>
      </w:pPr>
      <w:rPr>
        <w:rFonts w:hint="default" w:cs="Arial"/>
        <w:color w:val="1F2329"/>
      </w:rPr>
    </w:lvl>
    <w:lvl w:ilvl="3" w:tentative="0">
      <w:start w:val="1"/>
      <w:numFmt w:val="decimal"/>
      <w:lvlText w:val="%1.%2.%3.%4"/>
      <w:lvlJc w:val="left"/>
      <w:pPr>
        <w:ind w:left="1080" w:hanging="1080"/>
      </w:pPr>
      <w:rPr>
        <w:rFonts w:hint="default" w:cs="Arial"/>
        <w:color w:val="1F2329"/>
      </w:rPr>
    </w:lvl>
    <w:lvl w:ilvl="4" w:tentative="0">
      <w:start w:val="1"/>
      <w:numFmt w:val="decimal"/>
      <w:lvlText w:val="%1.%2.%3.%4.%5"/>
      <w:lvlJc w:val="left"/>
      <w:pPr>
        <w:ind w:left="1080" w:hanging="1080"/>
      </w:pPr>
      <w:rPr>
        <w:rFonts w:hint="default" w:cs="Arial"/>
        <w:color w:val="1F2329"/>
      </w:rPr>
    </w:lvl>
    <w:lvl w:ilvl="5" w:tentative="0">
      <w:start w:val="1"/>
      <w:numFmt w:val="decimal"/>
      <w:lvlText w:val="%1.%2.%3.%4.%5.%6"/>
      <w:lvlJc w:val="left"/>
      <w:pPr>
        <w:ind w:left="1440" w:hanging="1440"/>
      </w:pPr>
      <w:rPr>
        <w:rFonts w:hint="default" w:cs="Arial"/>
        <w:color w:val="1F2329"/>
      </w:rPr>
    </w:lvl>
    <w:lvl w:ilvl="6" w:tentative="0">
      <w:start w:val="1"/>
      <w:numFmt w:val="decimal"/>
      <w:lvlText w:val="%1.%2.%3.%4.%5.%6.%7"/>
      <w:lvlJc w:val="left"/>
      <w:pPr>
        <w:ind w:left="1440" w:hanging="1440"/>
      </w:pPr>
      <w:rPr>
        <w:rFonts w:hint="default" w:cs="Arial"/>
        <w:color w:val="1F2329"/>
      </w:rPr>
    </w:lvl>
    <w:lvl w:ilvl="7" w:tentative="0">
      <w:start w:val="1"/>
      <w:numFmt w:val="decimal"/>
      <w:lvlText w:val="%1.%2.%3.%4.%5.%6.%7.%8"/>
      <w:lvlJc w:val="left"/>
      <w:pPr>
        <w:ind w:left="1800" w:hanging="1800"/>
      </w:pPr>
      <w:rPr>
        <w:rFonts w:hint="default" w:cs="Arial"/>
        <w:color w:val="1F2329"/>
      </w:rPr>
    </w:lvl>
    <w:lvl w:ilvl="8" w:tentative="0">
      <w:start w:val="1"/>
      <w:numFmt w:val="decimal"/>
      <w:lvlText w:val="%1.%2.%3.%4.%5.%6.%7.%8.%9"/>
      <w:lvlJc w:val="left"/>
      <w:pPr>
        <w:ind w:left="1800" w:hanging="1800"/>
      </w:pPr>
      <w:rPr>
        <w:rFonts w:hint="default" w:cs="Arial"/>
        <w:color w:val="1F2329"/>
      </w:rPr>
    </w:lvl>
  </w:abstractNum>
  <w:abstractNum w:abstractNumId="5">
    <w:nsid w:val="270D6A25"/>
    <w:multiLevelType w:val="multilevel"/>
    <w:tmpl w:val="270D6A25"/>
    <w:lvl w:ilvl="0" w:tentative="0">
      <w:start w:val="5"/>
      <w:numFmt w:val="decimal"/>
      <w:lvlText w:val="%1"/>
      <w:lvlJc w:val="left"/>
      <w:pPr>
        <w:ind w:left="360" w:hanging="360"/>
      </w:pPr>
      <w:rPr>
        <w:rFonts w:hint="default"/>
      </w:rPr>
    </w:lvl>
    <w:lvl w:ilvl="1" w:tentative="0">
      <w:start w:val="1"/>
      <w:numFmt w:val="decimal"/>
      <w:lvlText w:val="4.%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
    <w:nsid w:val="36966A10"/>
    <w:multiLevelType w:val="multilevel"/>
    <w:tmpl w:val="36966A10"/>
    <w:lvl w:ilvl="0" w:tentative="0">
      <w:start w:val="15"/>
      <w:numFmt w:val="decimal"/>
      <w:lvlText w:val="%1"/>
      <w:lvlJc w:val="left"/>
      <w:pPr>
        <w:ind w:left="440" w:hanging="440"/>
      </w:pPr>
      <w:rPr>
        <w:rFonts w:hint="default" w:cs="Arial"/>
        <w:color w:val="1F2329"/>
      </w:rPr>
    </w:lvl>
    <w:lvl w:ilvl="1" w:tentative="0">
      <w:start w:val="1"/>
      <w:numFmt w:val="decimal"/>
      <w:lvlText w:val="14.%2"/>
      <w:lvlJc w:val="left"/>
      <w:pPr>
        <w:ind w:left="440" w:hanging="440"/>
      </w:pPr>
      <w:rPr>
        <w:rFonts w:hint="default" w:cs="Arial"/>
        <w:color w:val="1F2329"/>
      </w:rPr>
    </w:lvl>
    <w:lvl w:ilvl="2" w:tentative="0">
      <w:start w:val="1"/>
      <w:numFmt w:val="decimal"/>
      <w:lvlText w:val="%1.%2.%3"/>
      <w:lvlJc w:val="left"/>
      <w:pPr>
        <w:ind w:left="720" w:hanging="720"/>
      </w:pPr>
      <w:rPr>
        <w:rFonts w:hint="default" w:cs="Arial"/>
        <w:color w:val="1F2329"/>
      </w:rPr>
    </w:lvl>
    <w:lvl w:ilvl="3" w:tentative="0">
      <w:start w:val="1"/>
      <w:numFmt w:val="decimal"/>
      <w:lvlText w:val="%1.%2.%3.%4"/>
      <w:lvlJc w:val="left"/>
      <w:pPr>
        <w:ind w:left="1080" w:hanging="1080"/>
      </w:pPr>
      <w:rPr>
        <w:rFonts w:hint="default" w:cs="Arial"/>
        <w:color w:val="1F2329"/>
      </w:rPr>
    </w:lvl>
    <w:lvl w:ilvl="4" w:tentative="0">
      <w:start w:val="1"/>
      <w:numFmt w:val="decimal"/>
      <w:lvlText w:val="%1.%2.%3.%4.%5"/>
      <w:lvlJc w:val="left"/>
      <w:pPr>
        <w:ind w:left="1080" w:hanging="1080"/>
      </w:pPr>
      <w:rPr>
        <w:rFonts w:hint="default" w:cs="Arial"/>
        <w:color w:val="1F2329"/>
      </w:rPr>
    </w:lvl>
    <w:lvl w:ilvl="5" w:tentative="0">
      <w:start w:val="1"/>
      <w:numFmt w:val="decimal"/>
      <w:lvlText w:val="%1.%2.%3.%4.%5.%6"/>
      <w:lvlJc w:val="left"/>
      <w:pPr>
        <w:ind w:left="1440" w:hanging="1440"/>
      </w:pPr>
      <w:rPr>
        <w:rFonts w:hint="default" w:cs="Arial"/>
        <w:color w:val="1F2329"/>
      </w:rPr>
    </w:lvl>
    <w:lvl w:ilvl="6" w:tentative="0">
      <w:start w:val="1"/>
      <w:numFmt w:val="decimal"/>
      <w:lvlText w:val="%1.%2.%3.%4.%5.%6.%7"/>
      <w:lvlJc w:val="left"/>
      <w:pPr>
        <w:ind w:left="1440" w:hanging="1440"/>
      </w:pPr>
      <w:rPr>
        <w:rFonts w:hint="default" w:cs="Arial"/>
        <w:color w:val="1F2329"/>
      </w:rPr>
    </w:lvl>
    <w:lvl w:ilvl="7" w:tentative="0">
      <w:start w:val="1"/>
      <w:numFmt w:val="decimal"/>
      <w:lvlText w:val="%1.%2.%3.%4.%5.%6.%7.%8"/>
      <w:lvlJc w:val="left"/>
      <w:pPr>
        <w:ind w:left="1800" w:hanging="1800"/>
      </w:pPr>
      <w:rPr>
        <w:rFonts w:hint="default" w:cs="Arial"/>
        <w:color w:val="1F2329"/>
      </w:rPr>
    </w:lvl>
    <w:lvl w:ilvl="8" w:tentative="0">
      <w:start w:val="1"/>
      <w:numFmt w:val="decimal"/>
      <w:lvlText w:val="%1.%2.%3.%4.%5.%6.%7.%8.%9"/>
      <w:lvlJc w:val="left"/>
      <w:pPr>
        <w:ind w:left="1800" w:hanging="1800"/>
      </w:pPr>
      <w:rPr>
        <w:rFonts w:hint="default" w:cs="Arial"/>
        <w:color w:val="1F2329"/>
      </w:rPr>
    </w:lvl>
  </w:abstractNum>
  <w:abstractNum w:abstractNumId="7">
    <w:nsid w:val="38165ED3"/>
    <w:multiLevelType w:val="multilevel"/>
    <w:tmpl w:val="38165ED3"/>
    <w:lvl w:ilvl="0" w:tentative="0">
      <w:start w:val="14"/>
      <w:numFmt w:val="decimal"/>
      <w:lvlText w:val="%1"/>
      <w:lvlJc w:val="left"/>
      <w:pPr>
        <w:ind w:left="440" w:hanging="440"/>
      </w:pPr>
      <w:rPr>
        <w:rFonts w:hint="default"/>
      </w:rPr>
    </w:lvl>
    <w:lvl w:ilvl="1" w:tentative="0">
      <w:start w:val="1"/>
      <w:numFmt w:val="decimal"/>
      <w:lvlText w:val="13.%2"/>
      <w:lvlJc w:val="left"/>
      <w:pPr>
        <w:ind w:left="440" w:hanging="4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38886DC6"/>
    <w:multiLevelType w:val="multilevel"/>
    <w:tmpl w:val="38886DC6"/>
    <w:lvl w:ilvl="0" w:tentative="0">
      <w:start w:val="4"/>
      <w:numFmt w:val="decimal"/>
      <w:lvlText w:val="%1"/>
      <w:lvlJc w:val="left"/>
      <w:pPr>
        <w:ind w:left="360" w:hanging="360"/>
      </w:pPr>
      <w:rPr>
        <w:rFonts w:hint="default"/>
      </w:rPr>
    </w:lvl>
    <w:lvl w:ilvl="1" w:tentative="0">
      <w:start w:val="1"/>
      <w:numFmt w:val="decimal"/>
      <w:suff w:val="space"/>
      <w:lvlText w:val="3.%2"/>
      <w:lvlJc w:val="left"/>
      <w:pPr>
        <w:ind w:left="340" w:hanging="340"/>
      </w:pPr>
      <w:rPr>
        <w:rFonts w:hint="default"/>
      </w:rPr>
    </w:lvl>
    <w:lvl w:ilvl="2" w:tentative="0">
      <w:start w:val="1"/>
      <w:numFmt w:val="decimal"/>
      <w:lvlText w:val="3.%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AAE52EB"/>
    <w:multiLevelType w:val="multilevel"/>
    <w:tmpl w:val="3AAE52EB"/>
    <w:lvl w:ilvl="0" w:tentative="0">
      <w:start w:val="13"/>
      <w:numFmt w:val="decimal"/>
      <w:lvlText w:val="%1"/>
      <w:lvlJc w:val="left"/>
      <w:pPr>
        <w:ind w:left="440" w:hanging="440"/>
      </w:pPr>
      <w:rPr>
        <w:rFonts w:hint="default" w:cs="Arial"/>
      </w:rPr>
    </w:lvl>
    <w:lvl w:ilvl="1" w:tentative="0">
      <w:start w:val="1"/>
      <w:numFmt w:val="decimal"/>
      <w:lvlText w:val="12.%2"/>
      <w:lvlJc w:val="left"/>
      <w:pPr>
        <w:ind w:left="440" w:hanging="440"/>
      </w:pPr>
      <w:rPr>
        <w:rFonts w:hint="default" w:cs="Arial"/>
      </w:rPr>
    </w:lvl>
    <w:lvl w:ilvl="2" w:tentative="0">
      <w:start w:val="1"/>
      <w:numFmt w:val="decimal"/>
      <w:lvlText w:val="12.%2.%3"/>
      <w:lvlJc w:val="left"/>
      <w:pPr>
        <w:ind w:left="720" w:hanging="720"/>
      </w:pPr>
      <w:rPr>
        <w:rFonts w:hint="default" w:cs="Arial"/>
      </w:rPr>
    </w:lvl>
    <w:lvl w:ilvl="3" w:tentative="0">
      <w:start w:val="1"/>
      <w:numFmt w:val="decimal"/>
      <w:lvlText w:val="%1.%2.%3.%4"/>
      <w:lvlJc w:val="left"/>
      <w:pPr>
        <w:ind w:left="1080" w:hanging="1080"/>
      </w:pPr>
      <w:rPr>
        <w:rFonts w:hint="default" w:cs="Arial"/>
      </w:rPr>
    </w:lvl>
    <w:lvl w:ilvl="4" w:tentative="0">
      <w:start w:val="1"/>
      <w:numFmt w:val="decimal"/>
      <w:lvlText w:val="%1.%2.%3.%4.%5"/>
      <w:lvlJc w:val="left"/>
      <w:pPr>
        <w:ind w:left="1080" w:hanging="1080"/>
      </w:pPr>
      <w:rPr>
        <w:rFonts w:hint="default" w:cs="Arial"/>
      </w:rPr>
    </w:lvl>
    <w:lvl w:ilvl="5" w:tentative="0">
      <w:start w:val="1"/>
      <w:numFmt w:val="decimal"/>
      <w:lvlText w:val="%1.%2.%3.%4.%5.%6"/>
      <w:lvlJc w:val="left"/>
      <w:pPr>
        <w:ind w:left="1440" w:hanging="1440"/>
      </w:pPr>
      <w:rPr>
        <w:rFonts w:hint="default" w:cs="Arial"/>
      </w:rPr>
    </w:lvl>
    <w:lvl w:ilvl="6" w:tentative="0">
      <w:start w:val="1"/>
      <w:numFmt w:val="decimal"/>
      <w:lvlText w:val="%1.%2.%3.%4.%5.%6.%7"/>
      <w:lvlJc w:val="left"/>
      <w:pPr>
        <w:ind w:left="1440" w:hanging="1440"/>
      </w:pPr>
      <w:rPr>
        <w:rFonts w:hint="default" w:cs="Arial"/>
      </w:rPr>
    </w:lvl>
    <w:lvl w:ilvl="7" w:tentative="0">
      <w:start w:val="1"/>
      <w:numFmt w:val="decimal"/>
      <w:lvlText w:val="%1.%2.%3.%4.%5.%6.%7.%8"/>
      <w:lvlJc w:val="left"/>
      <w:pPr>
        <w:ind w:left="1800" w:hanging="1800"/>
      </w:pPr>
      <w:rPr>
        <w:rFonts w:hint="default" w:cs="Arial"/>
      </w:rPr>
    </w:lvl>
    <w:lvl w:ilvl="8" w:tentative="0">
      <w:start w:val="1"/>
      <w:numFmt w:val="decimal"/>
      <w:lvlText w:val="%1.%2.%3.%4.%5.%6.%7.%8.%9"/>
      <w:lvlJc w:val="left"/>
      <w:pPr>
        <w:ind w:left="1800" w:hanging="1800"/>
      </w:pPr>
      <w:rPr>
        <w:rFonts w:hint="default" w:cs="Arial"/>
      </w:rPr>
    </w:lvl>
  </w:abstractNum>
  <w:abstractNum w:abstractNumId="10">
    <w:nsid w:val="42AB56E4"/>
    <w:multiLevelType w:val="multilevel"/>
    <w:tmpl w:val="42AB56E4"/>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49273353"/>
    <w:multiLevelType w:val="multilevel"/>
    <w:tmpl w:val="49273353"/>
    <w:lvl w:ilvl="0" w:tentative="0">
      <w:start w:val="8"/>
      <w:numFmt w:val="decimal"/>
      <w:lvlText w:val="%1"/>
      <w:lvlJc w:val="left"/>
      <w:pPr>
        <w:ind w:left="360" w:hanging="360"/>
      </w:pPr>
      <w:rPr>
        <w:rFonts w:hint="default" w:cs="Arial"/>
        <w:color w:val="1F2329"/>
      </w:rPr>
    </w:lvl>
    <w:lvl w:ilvl="1" w:tentative="0">
      <w:start w:val="1"/>
      <w:numFmt w:val="decimal"/>
      <w:lvlText w:val="7.%2"/>
      <w:lvlJc w:val="left"/>
      <w:pPr>
        <w:ind w:left="360" w:hanging="360"/>
      </w:pPr>
      <w:rPr>
        <w:rFonts w:hint="default" w:cs="Arial"/>
        <w:color w:val="1F2329"/>
      </w:rPr>
    </w:lvl>
    <w:lvl w:ilvl="2" w:tentative="0">
      <w:start w:val="1"/>
      <w:numFmt w:val="decimal"/>
      <w:lvlText w:val="%1.%2.%3"/>
      <w:lvlJc w:val="left"/>
      <w:pPr>
        <w:ind w:left="720" w:hanging="720"/>
      </w:pPr>
      <w:rPr>
        <w:rFonts w:hint="default" w:cs="Arial"/>
        <w:color w:val="1F2329"/>
      </w:rPr>
    </w:lvl>
    <w:lvl w:ilvl="3" w:tentative="0">
      <w:start w:val="1"/>
      <w:numFmt w:val="decimal"/>
      <w:lvlText w:val="%1.%2.%3.%4"/>
      <w:lvlJc w:val="left"/>
      <w:pPr>
        <w:ind w:left="1080" w:hanging="1080"/>
      </w:pPr>
      <w:rPr>
        <w:rFonts w:hint="default" w:cs="Arial"/>
        <w:color w:val="1F2329"/>
      </w:rPr>
    </w:lvl>
    <w:lvl w:ilvl="4" w:tentative="0">
      <w:start w:val="1"/>
      <w:numFmt w:val="decimal"/>
      <w:lvlText w:val="%1.%2.%3.%4.%5"/>
      <w:lvlJc w:val="left"/>
      <w:pPr>
        <w:ind w:left="1080" w:hanging="1080"/>
      </w:pPr>
      <w:rPr>
        <w:rFonts w:hint="default" w:cs="Arial"/>
        <w:color w:val="1F2329"/>
      </w:rPr>
    </w:lvl>
    <w:lvl w:ilvl="5" w:tentative="0">
      <w:start w:val="1"/>
      <w:numFmt w:val="decimal"/>
      <w:lvlText w:val="%1.%2.%3.%4.%5.%6"/>
      <w:lvlJc w:val="left"/>
      <w:pPr>
        <w:ind w:left="1440" w:hanging="1440"/>
      </w:pPr>
      <w:rPr>
        <w:rFonts w:hint="default" w:cs="Arial"/>
        <w:color w:val="1F2329"/>
      </w:rPr>
    </w:lvl>
    <w:lvl w:ilvl="6" w:tentative="0">
      <w:start w:val="1"/>
      <w:numFmt w:val="decimal"/>
      <w:lvlText w:val="%1.%2.%3.%4.%5.%6.%7"/>
      <w:lvlJc w:val="left"/>
      <w:pPr>
        <w:ind w:left="1440" w:hanging="1440"/>
      </w:pPr>
      <w:rPr>
        <w:rFonts w:hint="default" w:cs="Arial"/>
        <w:color w:val="1F2329"/>
      </w:rPr>
    </w:lvl>
    <w:lvl w:ilvl="7" w:tentative="0">
      <w:start w:val="1"/>
      <w:numFmt w:val="decimal"/>
      <w:lvlText w:val="%1.%2.%3.%4.%5.%6.%7.%8"/>
      <w:lvlJc w:val="left"/>
      <w:pPr>
        <w:ind w:left="1800" w:hanging="1800"/>
      </w:pPr>
      <w:rPr>
        <w:rFonts w:hint="default" w:cs="Arial"/>
        <w:color w:val="1F2329"/>
      </w:rPr>
    </w:lvl>
    <w:lvl w:ilvl="8" w:tentative="0">
      <w:start w:val="1"/>
      <w:numFmt w:val="decimal"/>
      <w:lvlText w:val="%1.%2.%3.%4.%5.%6.%7.%8.%9"/>
      <w:lvlJc w:val="left"/>
      <w:pPr>
        <w:ind w:left="1800" w:hanging="1800"/>
      </w:pPr>
      <w:rPr>
        <w:rFonts w:hint="default" w:cs="Arial"/>
        <w:color w:val="1F2329"/>
      </w:rPr>
    </w:lvl>
  </w:abstractNum>
  <w:abstractNum w:abstractNumId="12">
    <w:nsid w:val="4ACB1F52"/>
    <w:multiLevelType w:val="multilevel"/>
    <w:tmpl w:val="4ACB1F52"/>
    <w:lvl w:ilvl="0" w:tentative="0">
      <w:start w:val="1"/>
      <w:numFmt w:val="decimal"/>
      <w:lvlText w:val="%1."/>
      <w:lvlJc w:val="left"/>
      <w:pPr>
        <w:ind w:left="420" w:hanging="420"/>
      </w:pPr>
      <w:rPr>
        <w:rFonts w:hint="eastAsia"/>
      </w:rPr>
    </w:lvl>
    <w:lvl w:ilvl="1" w:tentative="0">
      <w:start w:val="1"/>
      <w:numFmt w:val="decimal"/>
      <w:isLgl/>
      <w:lvlText w:val="%1.%2"/>
      <w:lvlJc w:val="left"/>
      <w:pPr>
        <w:ind w:left="360" w:hanging="360"/>
      </w:pPr>
      <w:rPr>
        <w:rFonts w:hint="default" w:cs="Arial"/>
        <w:color w:val="1F2329"/>
      </w:rPr>
    </w:lvl>
    <w:lvl w:ilvl="2" w:tentative="0">
      <w:start w:val="1"/>
      <w:numFmt w:val="decimal"/>
      <w:isLgl/>
      <w:lvlText w:val="%1.%2.%3"/>
      <w:lvlJc w:val="left"/>
      <w:pPr>
        <w:ind w:left="720" w:hanging="720"/>
      </w:pPr>
      <w:rPr>
        <w:rFonts w:hint="default" w:cs="Arial"/>
        <w:color w:val="1F2329"/>
      </w:rPr>
    </w:lvl>
    <w:lvl w:ilvl="3" w:tentative="0">
      <w:start w:val="1"/>
      <w:numFmt w:val="decimal"/>
      <w:isLgl/>
      <w:lvlText w:val="%1.%2.%3.%4"/>
      <w:lvlJc w:val="left"/>
      <w:pPr>
        <w:ind w:left="1080" w:hanging="1080"/>
      </w:pPr>
      <w:rPr>
        <w:rFonts w:hint="default" w:cs="Arial"/>
        <w:color w:val="1F2329"/>
      </w:rPr>
    </w:lvl>
    <w:lvl w:ilvl="4" w:tentative="0">
      <w:start w:val="1"/>
      <w:numFmt w:val="decimal"/>
      <w:isLgl/>
      <w:lvlText w:val="%1.%2.%3.%4.%5"/>
      <w:lvlJc w:val="left"/>
      <w:pPr>
        <w:ind w:left="1080" w:hanging="1080"/>
      </w:pPr>
      <w:rPr>
        <w:rFonts w:hint="default" w:cs="Arial"/>
        <w:color w:val="1F2329"/>
      </w:rPr>
    </w:lvl>
    <w:lvl w:ilvl="5" w:tentative="0">
      <w:start w:val="1"/>
      <w:numFmt w:val="decimal"/>
      <w:isLgl/>
      <w:lvlText w:val="%1.%2.%3.%4.%5.%6"/>
      <w:lvlJc w:val="left"/>
      <w:pPr>
        <w:ind w:left="1440" w:hanging="1440"/>
      </w:pPr>
      <w:rPr>
        <w:rFonts w:hint="default" w:cs="Arial"/>
        <w:color w:val="1F2329"/>
      </w:rPr>
    </w:lvl>
    <w:lvl w:ilvl="6" w:tentative="0">
      <w:start w:val="1"/>
      <w:numFmt w:val="decimal"/>
      <w:isLgl/>
      <w:lvlText w:val="%1.%2.%3.%4.%5.%6.%7"/>
      <w:lvlJc w:val="left"/>
      <w:pPr>
        <w:ind w:left="1440" w:hanging="1440"/>
      </w:pPr>
      <w:rPr>
        <w:rFonts w:hint="default" w:cs="Arial"/>
        <w:color w:val="1F2329"/>
      </w:rPr>
    </w:lvl>
    <w:lvl w:ilvl="7" w:tentative="0">
      <w:start w:val="1"/>
      <w:numFmt w:val="decimal"/>
      <w:isLgl/>
      <w:lvlText w:val="%1.%2.%3.%4.%5.%6.%7.%8"/>
      <w:lvlJc w:val="left"/>
      <w:pPr>
        <w:ind w:left="1800" w:hanging="1800"/>
      </w:pPr>
      <w:rPr>
        <w:rFonts w:hint="default" w:cs="Arial"/>
        <w:color w:val="1F2329"/>
      </w:rPr>
    </w:lvl>
    <w:lvl w:ilvl="8" w:tentative="0">
      <w:start w:val="1"/>
      <w:numFmt w:val="decimal"/>
      <w:isLgl/>
      <w:lvlText w:val="%1.%2.%3.%4.%5.%6.%7.%8.%9"/>
      <w:lvlJc w:val="left"/>
      <w:pPr>
        <w:ind w:left="1800" w:hanging="1800"/>
      </w:pPr>
      <w:rPr>
        <w:rFonts w:hint="default" w:cs="Arial"/>
        <w:color w:val="1F2329"/>
      </w:rPr>
    </w:lvl>
  </w:abstractNum>
  <w:abstractNum w:abstractNumId="13">
    <w:nsid w:val="4CC85B58"/>
    <w:multiLevelType w:val="multilevel"/>
    <w:tmpl w:val="4CC85B58"/>
    <w:lvl w:ilvl="0" w:tentative="0">
      <w:start w:val="1"/>
      <w:numFmt w:val="decimal"/>
      <w:lvlText w:val="%1"/>
      <w:lvlJc w:val="left"/>
      <w:pPr>
        <w:ind w:left="360" w:hanging="360"/>
      </w:pPr>
      <w:rPr>
        <w:rFonts w:hint="default" w:cs="Arial"/>
        <w:color w:val="1F2329"/>
      </w:rPr>
    </w:lvl>
    <w:lvl w:ilvl="1" w:tentative="0">
      <w:start w:val="1"/>
      <w:numFmt w:val="decimal"/>
      <w:suff w:val="space"/>
      <w:lvlText w:val="2.%2"/>
      <w:lvlJc w:val="left"/>
      <w:pPr>
        <w:ind w:left="360" w:hanging="360"/>
      </w:pPr>
      <w:rPr>
        <w:rFonts w:hint="default" w:cs="Arial"/>
        <w:color w:val="1F2329"/>
      </w:rPr>
    </w:lvl>
    <w:lvl w:ilvl="2" w:tentative="0">
      <w:start w:val="1"/>
      <w:numFmt w:val="decimal"/>
      <w:lvlText w:val="%1.%2.%3"/>
      <w:lvlJc w:val="left"/>
      <w:pPr>
        <w:ind w:left="720" w:hanging="720"/>
      </w:pPr>
      <w:rPr>
        <w:rFonts w:hint="default" w:cs="Arial"/>
        <w:color w:val="1F2329"/>
      </w:rPr>
    </w:lvl>
    <w:lvl w:ilvl="3" w:tentative="0">
      <w:start w:val="1"/>
      <w:numFmt w:val="decimal"/>
      <w:lvlText w:val="%1.%2.%3.%4"/>
      <w:lvlJc w:val="left"/>
      <w:pPr>
        <w:ind w:left="1080" w:hanging="1080"/>
      </w:pPr>
      <w:rPr>
        <w:rFonts w:hint="default" w:cs="Arial"/>
        <w:color w:val="1F2329"/>
      </w:rPr>
    </w:lvl>
    <w:lvl w:ilvl="4" w:tentative="0">
      <w:start w:val="1"/>
      <w:numFmt w:val="decimal"/>
      <w:lvlText w:val="%1.%2.%3.%4.%5"/>
      <w:lvlJc w:val="left"/>
      <w:pPr>
        <w:ind w:left="1080" w:hanging="1080"/>
      </w:pPr>
      <w:rPr>
        <w:rFonts w:hint="default" w:cs="Arial"/>
        <w:color w:val="1F2329"/>
      </w:rPr>
    </w:lvl>
    <w:lvl w:ilvl="5" w:tentative="0">
      <w:start w:val="1"/>
      <w:numFmt w:val="decimal"/>
      <w:lvlText w:val="%1.%2.%3.%4.%5.%6"/>
      <w:lvlJc w:val="left"/>
      <w:pPr>
        <w:ind w:left="1440" w:hanging="1440"/>
      </w:pPr>
      <w:rPr>
        <w:rFonts w:hint="default" w:cs="Arial"/>
        <w:color w:val="1F2329"/>
      </w:rPr>
    </w:lvl>
    <w:lvl w:ilvl="6" w:tentative="0">
      <w:start w:val="1"/>
      <w:numFmt w:val="decimal"/>
      <w:lvlText w:val="%1.%2.%3.%4.%5.%6.%7"/>
      <w:lvlJc w:val="left"/>
      <w:pPr>
        <w:ind w:left="1440" w:hanging="1440"/>
      </w:pPr>
      <w:rPr>
        <w:rFonts w:hint="default" w:cs="Arial"/>
        <w:color w:val="1F2329"/>
      </w:rPr>
    </w:lvl>
    <w:lvl w:ilvl="7" w:tentative="0">
      <w:start w:val="1"/>
      <w:numFmt w:val="decimal"/>
      <w:lvlText w:val="%1.%2.%3.%4.%5.%6.%7.%8"/>
      <w:lvlJc w:val="left"/>
      <w:pPr>
        <w:ind w:left="1800" w:hanging="1800"/>
      </w:pPr>
      <w:rPr>
        <w:rFonts w:hint="default" w:cs="Arial"/>
        <w:color w:val="1F2329"/>
      </w:rPr>
    </w:lvl>
    <w:lvl w:ilvl="8" w:tentative="0">
      <w:start w:val="1"/>
      <w:numFmt w:val="decimal"/>
      <w:lvlText w:val="%1.%2.%3.%4.%5.%6.%7.%8.%9"/>
      <w:lvlJc w:val="left"/>
      <w:pPr>
        <w:ind w:left="1800" w:hanging="1800"/>
      </w:pPr>
      <w:rPr>
        <w:rFonts w:hint="default" w:cs="Arial"/>
        <w:color w:val="1F2329"/>
      </w:rPr>
    </w:lvl>
  </w:abstractNum>
  <w:abstractNum w:abstractNumId="14">
    <w:nsid w:val="62BC1AB5"/>
    <w:multiLevelType w:val="multilevel"/>
    <w:tmpl w:val="62BC1AB5"/>
    <w:lvl w:ilvl="0" w:tentative="0">
      <w:start w:val="6"/>
      <w:numFmt w:val="decimal"/>
      <w:lvlText w:val="%1"/>
      <w:lvlJc w:val="left"/>
      <w:pPr>
        <w:ind w:left="360" w:hanging="360"/>
      </w:pPr>
      <w:rPr>
        <w:rFonts w:hint="default"/>
      </w:rPr>
    </w:lvl>
    <w:lvl w:ilvl="1" w:tentative="0">
      <w:start w:val="1"/>
      <w:numFmt w:val="decimal"/>
      <w:lvlText w:val="5.%2"/>
      <w:lvlJc w:val="left"/>
      <w:pPr>
        <w:ind w:left="360" w:hanging="360"/>
      </w:pPr>
      <w:rPr>
        <w:rFonts w:hint="default"/>
      </w:rPr>
    </w:lvl>
    <w:lvl w:ilvl="2" w:tentative="0">
      <w:start w:val="1"/>
      <w:numFmt w:val="decimal"/>
      <w:suff w:val="space"/>
      <w:lvlText w:val="5.%2.%3"/>
      <w:lvlJc w:val="left"/>
      <w:pPr>
        <w:ind w:left="567" w:hanging="567"/>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5">
    <w:nsid w:val="664377E6"/>
    <w:multiLevelType w:val="multilevel"/>
    <w:tmpl w:val="664377E6"/>
    <w:lvl w:ilvl="0" w:tentative="0">
      <w:start w:val="9"/>
      <w:numFmt w:val="decimal"/>
      <w:lvlText w:val="%1"/>
      <w:lvlJc w:val="left"/>
      <w:pPr>
        <w:ind w:left="360" w:hanging="360"/>
      </w:pPr>
      <w:rPr>
        <w:rFonts w:hint="default" w:cs="Arial"/>
        <w:color w:val="1F2329"/>
      </w:rPr>
    </w:lvl>
    <w:lvl w:ilvl="1" w:tentative="0">
      <w:start w:val="1"/>
      <w:numFmt w:val="decimal"/>
      <w:suff w:val="space"/>
      <w:lvlText w:val="8.%2"/>
      <w:lvlJc w:val="left"/>
      <w:pPr>
        <w:ind w:left="360" w:hanging="360"/>
      </w:pPr>
      <w:rPr>
        <w:rFonts w:hint="default" w:cs="Arial"/>
        <w:color w:val="1F2329"/>
      </w:rPr>
    </w:lvl>
    <w:lvl w:ilvl="2" w:tentative="0">
      <w:start w:val="1"/>
      <w:numFmt w:val="decimal"/>
      <w:lvlText w:val="%1.%2.%3"/>
      <w:lvlJc w:val="left"/>
      <w:pPr>
        <w:ind w:left="720" w:hanging="720"/>
      </w:pPr>
      <w:rPr>
        <w:rFonts w:hint="default" w:cs="Arial"/>
        <w:color w:val="1F2329"/>
      </w:rPr>
    </w:lvl>
    <w:lvl w:ilvl="3" w:tentative="0">
      <w:start w:val="1"/>
      <w:numFmt w:val="decimal"/>
      <w:lvlText w:val="%1.%2.%3.%4"/>
      <w:lvlJc w:val="left"/>
      <w:pPr>
        <w:ind w:left="1080" w:hanging="1080"/>
      </w:pPr>
      <w:rPr>
        <w:rFonts w:hint="default" w:cs="Arial"/>
        <w:color w:val="1F2329"/>
      </w:rPr>
    </w:lvl>
    <w:lvl w:ilvl="4" w:tentative="0">
      <w:start w:val="1"/>
      <w:numFmt w:val="decimal"/>
      <w:lvlText w:val="%1.%2.%3.%4.%5"/>
      <w:lvlJc w:val="left"/>
      <w:pPr>
        <w:ind w:left="1080" w:hanging="1080"/>
      </w:pPr>
      <w:rPr>
        <w:rFonts w:hint="default" w:cs="Arial"/>
        <w:color w:val="1F2329"/>
      </w:rPr>
    </w:lvl>
    <w:lvl w:ilvl="5" w:tentative="0">
      <w:start w:val="1"/>
      <w:numFmt w:val="decimal"/>
      <w:lvlText w:val="%1.%2.%3.%4.%5.%6"/>
      <w:lvlJc w:val="left"/>
      <w:pPr>
        <w:ind w:left="1440" w:hanging="1440"/>
      </w:pPr>
      <w:rPr>
        <w:rFonts w:hint="default" w:cs="Arial"/>
        <w:color w:val="1F2329"/>
      </w:rPr>
    </w:lvl>
    <w:lvl w:ilvl="6" w:tentative="0">
      <w:start w:val="1"/>
      <w:numFmt w:val="decimal"/>
      <w:lvlText w:val="%1.%2.%3.%4.%5.%6.%7"/>
      <w:lvlJc w:val="left"/>
      <w:pPr>
        <w:ind w:left="1440" w:hanging="1440"/>
      </w:pPr>
      <w:rPr>
        <w:rFonts w:hint="default" w:cs="Arial"/>
        <w:color w:val="1F2329"/>
      </w:rPr>
    </w:lvl>
    <w:lvl w:ilvl="7" w:tentative="0">
      <w:start w:val="1"/>
      <w:numFmt w:val="decimal"/>
      <w:lvlText w:val="%1.%2.%3.%4.%5.%6.%7.%8"/>
      <w:lvlJc w:val="left"/>
      <w:pPr>
        <w:ind w:left="1800" w:hanging="1800"/>
      </w:pPr>
      <w:rPr>
        <w:rFonts w:hint="default" w:cs="Arial"/>
        <w:color w:val="1F2329"/>
      </w:rPr>
    </w:lvl>
    <w:lvl w:ilvl="8" w:tentative="0">
      <w:start w:val="1"/>
      <w:numFmt w:val="decimal"/>
      <w:lvlText w:val="%1.%2.%3.%4.%5.%6.%7.%8.%9"/>
      <w:lvlJc w:val="left"/>
      <w:pPr>
        <w:ind w:left="1800" w:hanging="1800"/>
      </w:pPr>
      <w:rPr>
        <w:rFonts w:hint="default" w:cs="Arial"/>
        <w:color w:val="1F2329"/>
      </w:rPr>
    </w:lvl>
  </w:abstractNum>
  <w:abstractNum w:abstractNumId="16">
    <w:nsid w:val="709847C7"/>
    <w:multiLevelType w:val="multilevel"/>
    <w:tmpl w:val="709847C7"/>
    <w:lvl w:ilvl="0" w:tentative="0">
      <w:start w:val="11"/>
      <w:numFmt w:val="decimal"/>
      <w:lvlText w:val="%1"/>
      <w:lvlJc w:val="left"/>
      <w:pPr>
        <w:ind w:left="440" w:hanging="440"/>
      </w:pPr>
      <w:rPr>
        <w:rFonts w:hint="default" w:cs="Arial"/>
        <w:color w:val="1F2329"/>
      </w:rPr>
    </w:lvl>
    <w:lvl w:ilvl="1" w:tentative="0">
      <w:start w:val="1"/>
      <w:numFmt w:val="decimal"/>
      <w:lvlText w:val="10.%2"/>
      <w:lvlJc w:val="left"/>
      <w:pPr>
        <w:ind w:left="440" w:hanging="440"/>
      </w:pPr>
      <w:rPr>
        <w:rFonts w:hint="default" w:cs="Arial"/>
        <w:color w:val="1F2329"/>
      </w:rPr>
    </w:lvl>
    <w:lvl w:ilvl="2" w:tentative="0">
      <w:start w:val="1"/>
      <w:numFmt w:val="decimal"/>
      <w:lvlText w:val="%1.%2.%3"/>
      <w:lvlJc w:val="left"/>
      <w:pPr>
        <w:ind w:left="720" w:hanging="720"/>
      </w:pPr>
      <w:rPr>
        <w:rFonts w:hint="default" w:cs="Arial"/>
        <w:color w:val="1F2329"/>
      </w:rPr>
    </w:lvl>
    <w:lvl w:ilvl="3" w:tentative="0">
      <w:start w:val="1"/>
      <w:numFmt w:val="decimal"/>
      <w:lvlText w:val="%1.%2.%3.%4"/>
      <w:lvlJc w:val="left"/>
      <w:pPr>
        <w:ind w:left="1080" w:hanging="1080"/>
      </w:pPr>
      <w:rPr>
        <w:rFonts w:hint="default" w:cs="Arial"/>
        <w:color w:val="1F2329"/>
      </w:rPr>
    </w:lvl>
    <w:lvl w:ilvl="4" w:tentative="0">
      <w:start w:val="1"/>
      <w:numFmt w:val="decimal"/>
      <w:lvlText w:val="%1.%2.%3.%4.%5"/>
      <w:lvlJc w:val="left"/>
      <w:pPr>
        <w:ind w:left="1080" w:hanging="1080"/>
      </w:pPr>
      <w:rPr>
        <w:rFonts w:hint="default" w:cs="Arial"/>
        <w:color w:val="1F2329"/>
      </w:rPr>
    </w:lvl>
    <w:lvl w:ilvl="5" w:tentative="0">
      <w:start w:val="1"/>
      <w:numFmt w:val="decimal"/>
      <w:lvlText w:val="%1.%2.%3.%4.%5.%6"/>
      <w:lvlJc w:val="left"/>
      <w:pPr>
        <w:ind w:left="1440" w:hanging="1440"/>
      </w:pPr>
      <w:rPr>
        <w:rFonts w:hint="default" w:cs="Arial"/>
        <w:color w:val="1F2329"/>
      </w:rPr>
    </w:lvl>
    <w:lvl w:ilvl="6" w:tentative="0">
      <w:start w:val="1"/>
      <w:numFmt w:val="decimal"/>
      <w:lvlText w:val="%1.%2.%3.%4.%5.%6.%7"/>
      <w:lvlJc w:val="left"/>
      <w:pPr>
        <w:ind w:left="1440" w:hanging="1440"/>
      </w:pPr>
      <w:rPr>
        <w:rFonts w:hint="default" w:cs="Arial"/>
        <w:color w:val="1F2329"/>
      </w:rPr>
    </w:lvl>
    <w:lvl w:ilvl="7" w:tentative="0">
      <w:start w:val="1"/>
      <w:numFmt w:val="decimal"/>
      <w:lvlText w:val="%1.%2.%3.%4.%5.%6.%7.%8"/>
      <w:lvlJc w:val="left"/>
      <w:pPr>
        <w:ind w:left="1800" w:hanging="1800"/>
      </w:pPr>
      <w:rPr>
        <w:rFonts w:hint="default" w:cs="Arial"/>
        <w:color w:val="1F2329"/>
      </w:rPr>
    </w:lvl>
    <w:lvl w:ilvl="8" w:tentative="0">
      <w:start w:val="1"/>
      <w:numFmt w:val="decimal"/>
      <w:lvlText w:val="%1.%2.%3.%4.%5.%6.%7.%8.%9"/>
      <w:lvlJc w:val="left"/>
      <w:pPr>
        <w:ind w:left="1800" w:hanging="1800"/>
      </w:pPr>
      <w:rPr>
        <w:rFonts w:hint="default" w:cs="Arial"/>
        <w:color w:val="1F2329"/>
      </w:rPr>
    </w:lvl>
  </w:abstractNum>
  <w:abstractNum w:abstractNumId="17">
    <w:nsid w:val="73891359"/>
    <w:multiLevelType w:val="multilevel"/>
    <w:tmpl w:val="73891359"/>
    <w:lvl w:ilvl="0" w:tentative="0">
      <w:start w:val="12"/>
      <w:numFmt w:val="decimal"/>
      <w:lvlText w:val="%1"/>
      <w:lvlJc w:val="left"/>
      <w:pPr>
        <w:ind w:left="440" w:hanging="440"/>
      </w:pPr>
      <w:rPr>
        <w:rFonts w:hint="default" w:cs="Arial"/>
      </w:rPr>
    </w:lvl>
    <w:lvl w:ilvl="1" w:tentative="0">
      <w:start w:val="1"/>
      <w:numFmt w:val="decimal"/>
      <w:lvlText w:val="11.%2"/>
      <w:lvlJc w:val="left"/>
      <w:pPr>
        <w:ind w:left="440" w:hanging="440"/>
      </w:pPr>
      <w:rPr>
        <w:rFonts w:hint="default" w:cs="Arial"/>
      </w:rPr>
    </w:lvl>
    <w:lvl w:ilvl="2" w:tentative="0">
      <w:start w:val="1"/>
      <w:numFmt w:val="decimal"/>
      <w:lvlText w:val="11.%2.%3"/>
      <w:lvlJc w:val="left"/>
      <w:pPr>
        <w:ind w:left="720" w:hanging="720"/>
      </w:pPr>
      <w:rPr>
        <w:rFonts w:hint="default" w:cs="Arial"/>
      </w:rPr>
    </w:lvl>
    <w:lvl w:ilvl="3" w:tentative="0">
      <w:start w:val="1"/>
      <w:numFmt w:val="decimal"/>
      <w:lvlText w:val="%1.%2.%3.%4"/>
      <w:lvlJc w:val="left"/>
      <w:pPr>
        <w:ind w:left="1080" w:hanging="1080"/>
      </w:pPr>
      <w:rPr>
        <w:rFonts w:hint="default" w:cs="Arial"/>
      </w:rPr>
    </w:lvl>
    <w:lvl w:ilvl="4" w:tentative="0">
      <w:start w:val="1"/>
      <w:numFmt w:val="decimal"/>
      <w:lvlText w:val="%1.%2.%3.%4.%5"/>
      <w:lvlJc w:val="left"/>
      <w:pPr>
        <w:ind w:left="1080" w:hanging="1080"/>
      </w:pPr>
      <w:rPr>
        <w:rFonts w:hint="default" w:cs="Arial"/>
      </w:rPr>
    </w:lvl>
    <w:lvl w:ilvl="5" w:tentative="0">
      <w:start w:val="1"/>
      <w:numFmt w:val="decimal"/>
      <w:lvlText w:val="%1.%2.%3.%4.%5.%6"/>
      <w:lvlJc w:val="left"/>
      <w:pPr>
        <w:ind w:left="1440" w:hanging="1440"/>
      </w:pPr>
      <w:rPr>
        <w:rFonts w:hint="default" w:cs="Arial"/>
      </w:rPr>
    </w:lvl>
    <w:lvl w:ilvl="6" w:tentative="0">
      <w:start w:val="1"/>
      <w:numFmt w:val="decimal"/>
      <w:lvlText w:val="%1.%2.%3.%4.%5.%6.%7"/>
      <w:lvlJc w:val="left"/>
      <w:pPr>
        <w:ind w:left="1440" w:hanging="1440"/>
      </w:pPr>
      <w:rPr>
        <w:rFonts w:hint="default" w:cs="Arial"/>
      </w:rPr>
    </w:lvl>
    <w:lvl w:ilvl="7" w:tentative="0">
      <w:start w:val="1"/>
      <w:numFmt w:val="decimal"/>
      <w:lvlText w:val="%1.%2.%3.%4.%5.%6.%7.%8"/>
      <w:lvlJc w:val="left"/>
      <w:pPr>
        <w:ind w:left="1800" w:hanging="1800"/>
      </w:pPr>
      <w:rPr>
        <w:rFonts w:hint="default" w:cs="Arial"/>
      </w:rPr>
    </w:lvl>
    <w:lvl w:ilvl="8" w:tentative="0">
      <w:start w:val="1"/>
      <w:numFmt w:val="decimal"/>
      <w:lvlText w:val="%1.%2.%3.%4.%5.%6.%7.%8.%9"/>
      <w:lvlJc w:val="left"/>
      <w:pPr>
        <w:ind w:left="1800" w:hanging="1800"/>
      </w:pPr>
      <w:rPr>
        <w:rFonts w:hint="default" w:cs="Arial"/>
      </w:rPr>
    </w:lvl>
  </w:abstractNum>
  <w:abstractNum w:abstractNumId="18">
    <w:nsid w:val="7E474805"/>
    <w:multiLevelType w:val="multilevel"/>
    <w:tmpl w:val="7E474805"/>
    <w:lvl w:ilvl="0" w:tentative="0">
      <w:start w:val="16"/>
      <w:numFmt w:val="decimal"/>
      <w:lvlText w:val="%1"/>
      <w:lvlJc w:val="left"/>
      <w:pPr>
        <w:ind w:left="440" w:hanging="440"/>
      </w:pPr>
      <w:rPr>
        <w:rFonts w:hint="default" w:cs="Arial"/>
        <w:color w:val="1F2329"/>
      </w:rPr>
    </w:lvl>
    <w:lvl w:ilvl="1" w:tentative="0">
      <w:start w:val="1"/>
      <w:numFmt w:val="decimal"/>
      <w:lvlText w:val="15.%2"/>
      <w:lvlJc w:val="left"/>
      <w:pPr>
        <w:ind w:left="440" w:hanging="440"/>
      </w:pPr>
      <w:rPr>
        <w:rFonts w:hint="default" w:cs="Arial"/>
        <w:color w:val="1F2329"/>
      </w:rPr>
    </w:lvl>
    <w:lvl w:ilvl="2" w:tentative="0">
      <w:start w:val="1"/>
      <w:numFmt w:val="decimal"/>
      <w:lvlText w:val="%1.%2.%3"/>
      <w:lvlJc w:val="left"/>
      <w:pPr>
        <w:ind w:left="720" w:hanging="720"/>
      </w:pPr>
      <w:rPr>
        <w:rFonts w:hint="default" w:cs="Arial"/>
        <w:color w:val="1F2329"/>
      </w:rPr>
    </w:lvl>
    <w:lvl w:ilvl="3" w:tentative="0">
      <w:start w:val="1"/>
      <w:numFmt w:val="decimal"/>
      <w:lvlText w:val="%1.%2.%3.%4"/>
      <w:lvlJc w:val="left"/>
      <w:pPr>
        <w:ind w:left="1080" w:hanging="1080"/>
      </w:pPr>
      <w:rPr>
        <w:rFonts w:hint="default" w:cs="Arial"/>
        <w:color w:val="1F2329"/>
      </w:rPr>
    </w:lvl>
    <w:lvl w:ilvl="4" w:tentative="0">
      <w:start w:val="1"/>
      <w:numFmt w:val="decimal"/>
      <w:lvlText w:val="%1.%2.%3.%4.%5"/>
      <w:lvlJc w:val="left"/>
      <w:pPr>
        <w:ind w:left="1080" w:hanging="1080"/>
      </w:pPr>
      <w:rPr>
        <w:rFonts w:hint="default" w:cs="Arial"/>
        <w:color w:val="1F2329"/>
      </w:rPr>
    </w:lvl>
    <w:lvl w:ilvl="5" w:tentative="0">
      <w:start w:val="1"/>
      <w:numFmt w:val="decimal"/>
      <w:lvlText w:val="%1.%2.%3.%4.%5.%6"/>
      <w:lvlJc w:val="left"/>
      <w:pPr>
        <w:ind w:left="1440" w:hanging="1440"/>
      </w:pPr>
      <w:rPr>
        <w:rFonts w:hint="default" w:cs="Arial"/>
        <w:color w:val="1F2329"/>
      </w:rPr>
    </w:lvl>
    <w:lvl w:ilvl="6" w:tentative="0">
      <w:start w:val="1"/>
      <w:numFmt w:val="decimal"/>
      <w:lvlText w:val="%1.%2.%3.%4.%5.%6.%7"/>
      <w:lvlJc w:val="left"/>
      <w:pPr>
        <w:ind w:left="1440" w:hanging="1440"/>
      </w:pPr>
      <w:rPr>
        <w:rFonts w:hint="default" w:cs="Arial"/>
        <w:color w:val="1F2329"/>
      </w:rPr>
    </w:lvl>
    <w:lvl w:ilvl="7" w:tentative="0">
      <w:start w:val="1"/>
      <w:numFmt w:val="decimal"/>
      <w:lvlText w:val="%1.%2.%3.%4.%5.%6.%7.%8"/>
      <w:lvlJc w:val="left"/>
      <w:pPr>
        <w:ind w:left="1800" w:hanging="1800"/>
      </w:pPr>
      <w:rPr>
        <w:rFonts w:hint="default" w:cs="Arial"/>
        <w:color w:val="1F2329"/>
      </w:rPr>
    </w:lvl>
    <w:lvl w:ilvl="8" w:tentative="0">
      <w:start w:val="1"/>
      <w:numFmt w:val="decimal"/>
      <w:lvlText w:val="%1.%2.%3.%4.%5.%6.%7.%8.%9"/>
      <w:lvlJc w:val="left"/>
      <w:pPr>
        <w:ind w:left="1800" w:hanging="1800"/>
      </w:pPr>
      <w:rPr>
        <w:rFonts w:hint="default" w:cs="Arial"/>
        <w:color w:val="1F2329"/>
      </w:rPr>
    </w:lvl>
  </w:abstractNum>
  <w:num w:numId="1">
    <w:abstractNumId w:val="12"/>
  </w:num>
  <w:num w:numId="2">
    <w:abstractNumId w:val="4"/>
  </w:num>
  <w:num w:numId="3">
    <w:abstractNumId w:val="13"/>
  </w:num>
  <w:num w:numId="4">
    <w:abstractNumId w:val="8"/>
  </w:num>
  <w:num w:numId="5">
    <w:abstractNumId w:val="5"/>
  </w:num>
  <w:num w:numId="6">
    <w:abstractNumId w:val="14"/>
  </w:num>
  <w:num w:numId="7">
    <w:abstractNumId w:val="10"/>
  </w:num>
  <w:num w:numId="8">
    <w:abstractNumId w:val="11"/>
  </w:num>
  <w:num w:numId="9">
    <w:abstractNumId w:val="15"/>
  </w:num>
  <w:num w:numId="10">
    <w:abstractNumId w:val="0"/>
  </w:num>
  <w:num w:numId="11">
    <w:abstractNumId w:val="16"/>
  </w:num>
  <w:num w:numId="12">
    <w:abstractNumId w:val="17"/>
  </w:num>
  <w:num w:numId="13">
    <w:abstractNumId w:val="9"/>
  </w:num>
  <w:num w:numId="14">
    <w:abstractNumId w:val="7"/>
  </w:num>
  <w:num w:numId="15">
    <w:abstractNumId w:val="6"/>
  </w:num>
  <w:num w:numId="16">
    <w:abstractNumId w:val="18"/>
  </w:num>
  <w:num w:numId="17">
    <w:abstractNumId w:val="1"/>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YTE0NjYxN2I5MDlkMjc2YTg3ZWI1MDA4ZGZhMjUifQ=="/>
  </w:docVars>
  <w:rsids>
    <w:rsidRoot w:val="007D2C20"/>
    <w:rsid w:val="007D2C20"/>
    <w:rsid w:val="1AEA108B"/>
    <w:rsid w:val="628E613B"/>
    <w:rsid w:val="640251EE"/>
    <w:rsid w:val="69CC7AA6"/>
    <w:rsid w:val="7FD76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13178</Words>
  <Characters>13313</Characters>
  <Lines>0</Lines>
  <Paragraphs>0</Paragraphs>
  <TotalTime>2</TotalTime>
  <ScaleCrop>false</ScaleCrop>
  <LinksUpToDate>false</LinksUpToDate>
  <CharactersWithSpaces>13425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2024-10-23T02:22:00Z</dcterms:created>
  <dc:creator>式月</dc:creator>
  <cp:lastModifiedBy>式月</cp:lastModifiedBy>
  <dcterms:modified xsi:type="dcterms:W3CDTF">2024-11-20T06:21:09Z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B21DD2716E5247718180E599E166EE6E_11</vt:lpwstr>
  </property>
</Properties>
</file>