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1D04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附件二：</w:t>
      </w:r>
    </w:p>
    <w:p w14:paraId="0A2C808F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/>
          <w:bCs/>
          <w:sz w:val="40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0"/>
          <w:szCs w:val="44"/>
          <w:lang w:val="en-US" w:eastAsia="zh-CN"/>
        </w:rPr>
        <w:t>运输协议单价</w:t>
      </w:r>
    </w:p>
    <w:p w14:paraId="631D839E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 w14:paraId="3E71D76A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根据甲乙双方签订合同编号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为</w:t>
      </w:r>
      <w:permStart w:id="0" w:edGrp="everyone"/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ZC-ZC-ZD-2024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-1102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</w:t>
      </w:r>
      <w:permEnd w:id="0"/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《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广州市致成物流有限公司整车运输框架协议》，现就乙方为甲方提供物流服务的线路及结算标准予以明确如下，作为双方结算依据。</w:t>
      </w:r>
    </w:p>
    <w:p w14:paraId="11261927"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整车运输服务价格按如下执行：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14:paraId="1CF1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114C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23" w:type="dxa"/>
            <w:vAlign w:val="center"/>
          </w:tcPr>
          <w:p w14:paraId="4907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承运区域</w:t>
            </w:r>
          </w:p>
        </w:tc>
        <w:tc>
          <w:tcPr>
            <w:tcW w:w="1423" w:type="dxa"/>
            <w:vAlign w:val="center"/>
          </w:tcPr>
          <w:p w14:paraId="0419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目的市</w:t>
            </w:r>
          </w:p>
        </w:tc>
        <w:tc>
          <w:tcPr>
            <w:tcW w:w="1423" w:type="dxa"/>
            <w:vAlign w:val="center"/>
          </w:tcPr>
          <w:p w14:paraId="1AE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目的店代码</w:t>
            </w:r>
          </w:p>
        </w:tc>
        <w:tc>
          <w:tcPr>
            <w:tcW w:w="1423" w:type="dxa"/>
            <w:vAlign w:val="center"/>
          </w:tcPr>
          <w:p w14:paraId="7C0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目的店</w:t>
            </w:r>
          </w:p>
        </w:tc>
        <w:tc>
          <w:tcPr>
            <w:tcW w:w="1423" w:type="dxa"/>
            <w:vAlign w:val="center"/>
          </w:tcPr>
          <w:p w14:paraId="4F92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单价(元/台)</w:t>
            </w:r>
          </w:p>
        </w:tc>
        <w:tc>
          <w:tcPr>
            <w:tcW w:w="1424" w:type="dxa"/>
            <w:vAlign w:val="bottom"/>
          </w:tcPr>
          <w:p w14:paraId="79C1F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承运区域运力保障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台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月</w:t>
            </w:r>
          </w:p>
        </w:tc>
      </w:tr>
      <w:tr w14:paraId="17D6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6904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4D31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1E96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423" w:type="dxa"/>
            <w:vAlign w:val="center"/>
          </w:tcPr>
          <w:p w14:paraId="08D5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21B10</w:t>
            </w:r>
          </w:p>
        </w:tc>
        <w:tc>
          <w:tcPr>
            <w:tcW w:w="1423" w:type="dxa"/>
            <w:vAlign w:val="center"/>
          </w:tcPr>
          <w:p w14:paraId="78AB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大连天久华北路店</w:t>
            </w:r>
          </w:p>
        </w:tc>
        <w:tc>
          <w:tcPr>
            <w:tcW w:w="1423" w:type="dxa"/>
            <w:vAlign w:val="center"/>
          </w:tcPr>
          <w:p w14:paraId="0D0D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125.00</w:t>
            </w:r>
          </w:p>
        </w:tc>
        <w:tc>
          <w:tcPr>
            <w:tcW w:w="1424" w:type="dxa"/>
            <w:vMerge w:val="restart"/>
            <w:vAlign w:val="center"/>
          </w:tcPr>
          <w:p w14:paraId="7511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运区域运力保障1300台/月</w:t>
            </w:r>
          </w:p>
        </w:tc>
      </w:tr>
      <w:tr w14:paraId="18A3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5F9C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66D1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5416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423" w:type="dxa"/>
            <w:vAlign w:val="center"/>
          </w:tcPr>
          <w:p w14:paraId="4704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21B20</w:t>
            </w:r>
          </w:p>
        </w:tc>
        <w:tc>
          <w:tcPr>
            <w:tcW w:w="1423" w:type="dxa"/>
            <w:vAlign w:val="center"/>
          </w:tcPr>
          <w:p w14:paraId="7CC8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大连中升虹港路店</w:t>
            </w:r>
          </w:p>
        </w:tc>
        <w:tc>
          <w:tcPr>
            <w:tcW w:w="1423" w:type="dxa"/>
            <w:vAlign w:val="center"/>
          </w:tcPr>
          <w:p w14:paraId="3B33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4FAF57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4256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7C4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3530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196A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1423" w:type="dxa"/>
            <w:vAlign w:val="center"/>
          </w:tcPr>
          <w:p w14:paraId="2448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21B30</w:t>
            </w:r>
          </w:p>
        </w:tc>
        <w:tc>
          <w:tcPr>
            <w:tcW w:w="1423" w:type="dxa"/>
            <w:vAlign w:val="center"/>
          </w:tcPr>
          <w:p w14:paraId="232E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大连中升开发区店</w:t>
            </w:r>
          </w:p>
        </w:tc>
        <w:tc>
          <w:tcPr>
            <w:tcW w:w="1423" w:type="dxa"/>
            <w:vAlign w:val="center"/>
          </w:tcPr>
          <w:p w14:paraId="1F14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6AC802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6CE7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341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3814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76E8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</w:t>
            </w:r>
          </w:p>
        </w:tc>
        <w:tc>
          <w:tcPr>
            <w:tcW w:w="1423" w:type="dxa"/>
            <w:vAlign w:val="center"/>
          </w:tcPr>
          <w:p w14:paraId="6E8D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21C10</w:t>
            </w:r>
          </w:p>
        </w:tc>
        <w:tc>
          <w:tcPr>
            <w:tcW w:w="1423" w:type="dxa"/>
            <w:vAlign w:val="center"/>
          </w:tcPr>
          <w:p w14:paraId="6DE8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鞍山和润德西环店</w:t>
            </w:r>
          </w:p>
        </w:tc>
        <w:tc>
          <w:tcPr>
            <w:tcW w:w="1423" w:type="dxa"/>
            <w:vAlign w:val="center"/>
          </w:tcPr>
          <w:p w14:paraId="389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611F77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2D5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A5C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799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6DE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</w:t>
            </w:r>
          </w:p>
        </w:tc>
        <w:tc>
          <w:tcPr>
            <w:tcW w:w="1423" w:type="dxa"/>
            <w:vAlign w:val="center"/>
          </w:tcPr>
          <w:p w14:paraId="6887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21C20</w:t>
            </w:r>
          </w:p>
        </w:tc>
        <w:tc>
          <w:tcPr>
            <w:tcW w:w="1423" w:type="dxa"/>
            <w:vAlign w:val="center"/>
          </w:tcPr>
          <w:p w14:paraId="076D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海城和润德南环店</w:t>
            </w:r>
          </w:p>
        </w:tc>
        <w:tc>
          <w:tcPr>
            <w:tcW w:w="1423" w:type="dxa"/>
            <w:vAlign w:val="center"/>
          </w:tcPr>
          <w:p w14:paraId="6A8F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5D6FF6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4538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FC0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2F7C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2856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</w:t>
            </w:r>
          </w:p>
        </w:tc>
        <w:tc>
          <w:tcPr>
            <w:tcW w:w="1423" w:type="dxa"/>
            <w:vAlign w:val="center"/>
          </w:tcPr>
          <w:p w14:paraId="250E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21G10</w:t>
            </w:r>
          </w:p>
        </w:tc>
        <w:tc>
          <w:tcPr>
            <w:tcW w:w="1423" w:type="dxa"/>
            <w:vAlign w:val="center"/>
          </w:tcPr>
          <w:p w14:paraId="5DB6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锦州卓远松山店</w:t>
            </w:r>
          </w:p>
        </w:tc>
        <w:tc>
          <w:tcPr>
            <w:tcW w:w="1423" w:type="dxa"/>
            <w:vAlign w:val="center"/>
          </w:tcPr>
          <w:p w14:paraId="5920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67A4FC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DF3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6304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5590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6FC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</w:t>
            </w:r>
          </w:p>
        </w:tc>
        <w:tc>
          <w:tcPr>
            <w:tcW w:w="1423" w:type="dxa"/>
            <w:vAlign w:val="center"/>
          </w:tcPr>
          <w:p w14:paraId="53B9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21J10</w:t>
            </w:r>
          </w:p>
        </w:tc>
        <w:tc>
          <w:tcPr>
            <w:tcW w:w="1423" w:type="dxa"/>
            <w:vAlign w:val="center"/>
          </w:tcPr>
          <w:p w14:paraId="6A81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阜新和旺开发区店</w:t>
            </w:r>
          </w:p>
        </w:tc>
        <w:tc>
          <w:tcPr>
            <w:tcW w:w="1423" w:type="dxa"/>
            <w:vAlign w:val="center"/>
          </w:tcPr>
          <w:p w14:paraId="5CFF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1F42DD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7EB3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57D7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4246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6F8B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</w:t>
            </w:r>
          </w:p>
        </w:tc>
        <w:tc>
          <w:tcPr>
            <w:tcW w:w="1423" w:type="dxa"/>
            <w:vAlign w:val="center"/>
          </w:tcPr>
          <w:p w14:paraId="519A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21K10</w:t>
            </w:r>
          </w:p>
        </w:tc>
        <w:tc>
          <w:tcPr>
            <w:tcW w:w="1423" w:type="dxa"/>
            <w:vAlign w:val="center"/>
          </w:tcPr>
          <w:p w14:paraId="6655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辽阳瑞达繁荣路店</w:t>
            </w:r>
          </w:p>
        </w:tc>
        <w:tc>
          <w:tcPr>
            <w:tcW w:w="1423" w:type="dxa"/>
            <w:vAlign w:val="center"/>
          </w:tcPr>
          <w:p w14:paraId="71A4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2725FA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972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52A9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63ED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1CE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</w:t>
            </w:r>
          </w:p>
        </w:tc>
        <w:tc>
          <w:tcPr>
            <w:tcW w:w="1423" w:type="dxa"/>
            <w:vAlign w:val="center"/>
          </w:tcPr>
          <w:p w14:paraId="75F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21L10</w:t>
            </w:r>
          </w:p>
        </w:tc>
        <w:tc>
          <w:tcPr>
            <w:tcW w:w="1423" w:type="dxa"/>
            <w:vAlign w:val="center"/>
          </w:tcPr>
          <w:p w14:paraId="0965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盘锦星海太平店</w:t>
            </w:r>
          </w:p>
        </w:tc>
        <w:tc>
          <w:tcPr>
            <w:tcW w:w="1423" w:type="dxa"/>
            <w:vAlign w:val="center"/>
          </w:tcPr>
          <w:p w14:paraId="66EF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188A14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3C0C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6FDA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11C4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0E14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</w:t>
            </w:r>
          </w:p>
        </w:tc>
        <w:tc>
          <w:tcPr>
            <w:tcW w:w="1423" w:type="dxa"/>
            <w:vAlign w:val="center"/>
          </w:tcPr>
          <w:p w14:paraId="2F1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21N10</w:t>
            </w:r>
          </w:p>
        </w:tc>
        <w:tc>
          <w:tcPr>
            <w:tcW w:w="1423" w:type="dxa"/>
            <w:vAlign w:val="center"/>
          </w:tcPr>
          <w:p w14:paraId="4661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朝阳中升正茂龙泉店</w:t>
            </w:r>
          </w:p>
        </w:tc>
        <w:tc>
          <w:tcPr>
            <w:tcW w:w="1423" w:type="dxa"/>
            <w:vAlign w:val="center"/>
          </w:tcPr>
          <w:p w14:paraId="6BA0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715.00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412488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4D90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 w14:paraId="7FF6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丰田</w:t>
            </w:r>
          </w:p>
        </w:tc>
        <w:tc>
          <w:tcPr>
            <w:tcW w:w="1423" w:type="dxa"/>
            <w:vAlign w:val="center"/>
          </w:tcPr>
          <w:p w14:paraId="5B1D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1423" w:type="dxa"/>
            <w:vAlign w:val="center"/>
          </w:tcPr>
          <w:p w14:paraId="032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</w:t>
            </w:r>
          </w:p>
        </w:tc>
        <w:tc>
          <w:tcPr>
            <w:tcW w:w="1423" w:type="dxa"/>
            <w:vAlign w:val="center"/>
          </w:tcPr>
          <w:p w14:paraId="56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21H10</w:t>
            </w:r>
          </w:p>
        </w:tc>
        <w:tc>
          <w:tcPr>
            <w:tcW w:w="1423" w:type="dxa"/>
            <w:vAlign w:val="center"/>
          </w:tcPr>
          <w:p w14:paraId="6EB9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营口中升庄林路店</w:t>
            </w:r>
          </w:p>
        </w:tc>
        <w:tc>
          <w:tcPr>
            <w:tcW w:w="1423" w:type="dxa"/>
            <w:vAlign w:val="center"/>
          </w:tcPr>
          <w:p w14:paraId="1D1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430.00 </w:t>
            </w:r>
          </w:p>
        </w:tc>
        <w:tc>
          <w:tcPr>
            <w:tcW w:w="1424" w:type="dxa"/>
            <w:vMerge w:val="continue"/>
            <w:tcBorders/>
            <w:vAlign w:val="center"/>
          </w:tcPr>
          <w:p w14:paraId="4591E1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 w14:paraId="4C4CEED6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备注:</w:t>
      </w:r>
    </w:p>
    <w:p w14:paraId="233C3596"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以上价格为含税价（已包含全部该业务相关费用），除上述费用外，甲方没有义务再向乙方支付任何其它费用。</w:t>
      </w:r>
    </w:p>
    <w:p w14:paraId="0A2EE1B8"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生效时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间</w:t>
      </w:r>
      <w:permStart w:id="1" w:edGrp="everyone"/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2024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8 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1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日起至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2025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7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31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日</w:t>
      </w:r>
      <w:permEnd w:id="1"/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；</w:t>
      </w:r>
    </w:p>
    <w:p w14:paraId="77AADE80"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价格有效期与合同有效期同步，如因甲方收入价发生变动，在双方友好协商基础上，乙方有义务对报价进行调整。</w:t>
      </w:r>
    </w:p>
    <w:p w14:paraId="281ADBCB"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按此价格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承运区域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每月必须保证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月</w:t>
      </w:r>
      <w:permStart w:id="2" w:edGrp="everyone"/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163 </w:t>
      </w:r>
      <w:permEnd w:id="2"/>
      <w:r>
        <w:rPr>
          <w:rFonts w:hint="eastAsia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板运力以上（1板=8台）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，且按甲方计划需求，平均安排运力到达时间，如乙方不能保证运力时，甲方有权自行安排其他运输公司进行运输，实际产生的运费超出本协议运输价格的，超出部分的运费作为违约金，应由乙方承担。</w:t>
      </w:r>
    </w:p>
    <w:p w14:paraId="3AFF1436">
      <w:pPr>
        <w:numPr>
          <w:ilvl w:val="0"/>
          <w:numId w:val="2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u w:val="none"/>
          <w:lang w:val="en-US" w:eastAsia="zh-CN"/>
        </w:rPr>
        <w:t>本价格合同作为甲乙双方签订编号</w:t>
      </w:r>
      <w:permStart w:id="3" w:edGrp="everyone"/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ZC-ZC-ZD-2024-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1102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u w:val="single"/>
          <w:lang w:val="en-US" w:eastAsia="zh-CN"/>
        </w:rPr>
        <w:t xml:space="preserve"> </w:t>
      </w:r>
      <w:permEnd w:id="3"/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《广州市致成物流有限公司整车运输框架协议》的附属附件，与主体合同具有同等法律效力。</w:t>
      </w:r>
    </w:p>
    <w:p w14:paraId="6361128F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 w14:paraId="456368E2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 w14:paraId="5CB0B22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甲方（签章）：广州市致成物流有限公司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乙方:（签章）：</w:t>
      </w:r>
      <w:permStart w:id="4" w:edGrp="everyone"/>
      <w:r>
        <w:rPr>
          <w:rFonts w:hint="eastAsia"/>
          <w:sz w:val="24"/>
          <w:szCs w:val="24"/>
        </w:rPr>
        <w:t>大连众鼎物流有限公司</w:t>
      </w:r>
    </w:p>
    <w:permEnd w:id="4"/>
    <w:p w14:paraId="3EEF96F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法定代表人或授权代理人（签字）：     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  法定代表人或授权代理人（签字）：</w:t>
      </w:r>
      <w:permStart w:id="5" w:edGrp="everyone"/>
    </w:p>
    <w:permEnd w:id="5"/>
    <w:p w14:paraId="4CED1F78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签约日期：</w:t>
      </w:r>
      <w:permStart w:id="6" w:edGrp="everyone"/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2024年8月1日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</w:t>
      </w:r>
      <w:permEnd w:id="6"/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>签约日期：</w:t>
      </w:r>
      <w:permStart w:id="7" w:edGrp="everyone"/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2024年8月1日</w:t>
      </w: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t xml:space="preserve">  </w:t>
      </w:r>
      <w:permEnd w:id="7"/>
    </w:p>
    <w:sectPr>
      <w:headerReference r:id="rId3" w:type="default"/>
      <w:footerReference r:id="rId4" w:type="default"/>
      <w:pgSz w:w="11906" w:h="16838"/>
      <w:pgMar w:top="1270" w:right="1080" w:bottom="127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08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05043">
                          <w:pPr>
                            <w:pStyle w:val="2"/>
                          </w:pPr>
                          <w:permStart w:id="9" w:edGrp="everyone"/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</w:t>
                          </w:r>
                          <w:permEnd w:id="9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05043">
                    <w:pPr>
                      <w:pStyle w:val="2"/>
                    </w:pPr>
                    <w:permStart w:id="9" w:edGrp="everyone"/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</w:t>
                    </w:r>
                    <w:permEnd w:id="9"/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C4342">
    <w:pPr>
      <w:pStyle w:val="3"/>
      <w:pBdr>
        <w:bottom w:val="single" w:color="auto" w:sz="4" w:space="1"/>
      </w:pBdr>
      <w:jc w:val="right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eastAsiaTheme="minorEastAsia"/>
        <w:sz w:val="20"/>
        <w:szCs w:val="28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596265" cy="397510"/>
          <wp:effectExtent l="0" t="0" r="13335" b="2540"/>
          <wp:wrapNone/>
          <wp:docPr id="2" name="图片 2" descr="致成物流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致成物流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26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sz w:val="20"/>
        <w:szCs w:val="28"/>
        <w:lang w:eastAsia="zh-CN"/>
      </w:rPr>
      <w:t xml:space="preserve">合同编号： </w:t>
    </w:r>
    <w:permStart w:id="8" w:edGrp="everyone"/>
    <w:r>
      <w:rPr>
        <w:rFonts w:hint="eastAsia" w:ascii="宋体" w:hAnsi="宋体" w:eastAsia="宋体" w:cs="宋体"/>
        <w:sz w:val="18"/>
        <w:szCs w:val="18"/>
        <w:lang w:eastAsia="zh-CN"/>
      </w:rPr>
      <w:t>ZC-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ZC</w:t>
    </w:r>
    <w:r>
      <w:rPr>
        <w:rFonts w:hint="eastAsia" w:ascii="宋体" w:hAnsi="宋体" w:eastAsia="宋体" w:cs="宋体"/>
        <w:sz w:val="18"/>
        <w:szCs w:val="18"/>
        <w:lang w:eastAsia="zh-CN"/>
      </w:rPr>
      <w:t>-</w:t>
    </w:r>
    <w:r>
      <w:rPr>
        <w:rFonts w:hint="eastAsia" w:ascii="宋体" w:hAnsi="宋体" w:eastAsia="宋体" w:cs="宋体"/>
        <w:sz w:val="18"/>
        <w:szCs w:val="18"/>
      </w:rPr>
      <w:t>ZD</w:t>
    </w:r>
    <w:r>
      <w:rPr>
        <w:rFonts w:hint="eastAsia" w:ascii="宋体" w:hAnsi="宋体" w:eastAsia="宋体" w:cs="宋体"/>
        <w:sz w:val="18"/>
        <w:szCs w:val="18"/>
        <w:lang w:eastAsia="zh-CN"/>
      </w:rPr>
      <w:t>-202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4-1</w:t>
    </w:r>
    <w:r>
      <w:rPr>
        <w:rFonts w:hint="eastAsia" w:ascii="宋体" w:hAnsi="宋体" w:eastAsia="宋体" w:cs="宋体"/>
        <w:sz w:val="18"/>
        <w:szCs w:val="18"/>
      </w:rPr>
      <w:t>1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02</w:t>
    </w:r>
    <w:perm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22838"/>
    <w:multiLevelType w:val="singleLevel"/>
    <w:tmpl w:val="AE9228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49B589"/>
    <w:multiLevelType w:val="singleLevel"/>
    <w:tmpl w:val="6F49B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gf/jyae0XBe6VATNQEQxNzEzt0s=" w:salt="EE9cU1FtuVfjaTFvzACBb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DJjMGUyOTZiZDk5ZDExM2M1YTg0MDRiOTYzYTAifQ=="/>
  </w:docVars>
  <w:rsids>
    <w:rsidRoot w:val="0CBD6F56"/>
    <w:rsid w:val="016628B7"/>
    <w:rsid w:val="02AC5FF3"/>
    <w:rsid w:val="05DA091A"/>
    <w:rsid w:val="061C5D80"/>
    <w:rsid w:val="06975875"/>
    <w:rsid w:val="095762C2"/>
    <w:rsid w:val="0AC534D0"/>
    <w:rsid w:val="0CBD6F56"/>
    <w:rsid w:val="0E1571F8"/>
    <w:rsid w:val="1090553E"/>
    <w:rsid w:val="14DE49B8"/>
    <w:rsid w:val="15595AFA"/>
    <w:rsid w:val="16786B2A"/>
    <w:rsid w:val="1821052B"/>
    <w:rsid w:val="1B100279"/>
    <w:rsid w:val="1B8336CC"/>
    <w:rsid w:val="1D2C74F6"/>
    <w:rsid w:val="1DAD49C3"/>
    <w:rsid w:val="21507FC8"/>
    <w:rsid w:val="22645573"/>
    <w:rsid w:val="24CA6F0B"/>
    <w:rsid w:val="26DF066F"/>
    <w:rsid w:val="2B9370AB"/>
    <w:rsid w:val="2C062337"/>
    <w:rsid w:val="2EC1487B"/>
    <w:rsid w:val="30557593"/>
    <w:rsid w:val="32C759B3"/>
    <w:rsid w:val="34E70CC6"/>
    <w:rsid w:val="35DD37DA"/>
    <w:rsid w:val="392B2AB6"/>
    <w:rsid w:val="3A3B5C15"/>
    <w:rsid w:val="3DD8349F"/>
    <w:rsid w:val="3ED4689B"/>
    <w:rsid w:val="42575E57"/>
    <w:rsid w:val="482E5D27"/>
    <w:rsid w:val="487949C9"/>
    <w:rsid w:val="48AA1CD3"/>
    <w:rsid w:val="4EF86629"/>
    <w:rsid w:val="4FEE7D0C"/>
    <w:rsid w:val="52665F93"/>
    <w:rsid w:val="52BB379C"/>
    <w:rsid w:val="53560736"/>
    <w:rsid w:val="578475FF"/>
    <w:rsid w:val="5AD10637"/>
    <w:rsid w:val="5B1E004E"/>
    <w:rsid w:val="5D4E0247"/>
    <w:rsid w:val="5E090618"/>
    <w:rsid w:val="5FFE63DD"/>
    <w:rsid w:val="6444068D"/>
    <w:rsid w:val="6775395F"/>
    <w:rsid w:val="684A4B9C"/>
    <w:rsid w:val="68D27907"/>
    <w:rsid w:val="6A90057A"/>
    <w:rsid w:val="6C17026B"/>
    <w:rsid w:val="6C9C30BE"/>
    <w:rsid w:val="701E67FE"/>
    <w:rsid w:val="715539EA"/>
    <w:rsid w:val="768C1AEC"/>
    <w:rsid w:val="789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835</Characters>
  <Lines>0</Lines>
  <Paragraphs>0</Paragraphs>
  <TotalTime>3</TotalTime>
  <ScaleCrop>false</ScaleCrop>
  <LinksUpToDate>false</LinksUpToDate>
  <CharactersWithSpaces>901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2023-06-18T08:39:00Z</dcterms:created>
  <dc:creator>康远物联</dc:creator>
  <cp:lastModifiedBy>麦当娟</cp:lastModifiedBy>
  <dcterms:modified xsi:type="dcterms:W3CDTF">2024-11-08T09:14:32Z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364E25F987F8447FA8BF8F0153EEFB6A_13</vt:lpwstr>
  </property>
</Properties>
</file>